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27B5" w14:textId="77777777" w:rsidR="00D0387D" w:rsidRDefault="00D0387D" w:rsidP="001850B3"/>
    <w:p w14:paraId="64A5F550" w14:textId="77777777" w:rsidR="0034497B" w:rsidRDefault="0034497B" w:rsidP="001850B3"/>
    <w:p w14:paraId="4DC0DE7F" w14:textId="77777777" w:rsidR="0034497B" w:rsidRDefault="00B70CA0" w:rsidP="001850B3">
      <w:r>
        <w:rPr>
          <w:noProof/>
          <w:lang w:eastAsia="da-DK"/>
        </w:rPr>
        <mc:AlternateContent>
          <mc:Choice Requires="wps">
            <w:drawing>
              <wp:anchor distT="0" distB="0" distL="114300" distR="114300" simplePos="0" relativeHeight="251658240" behindDoc="1" locked="0" layoutInCell="0" allowOverlap="1" wp14:anchorId="5B00FE69" wp14:editId="502CE25A">
                <wp:simplePos x="0" y="0"/>
                <wp:positionH relativeFrom="page">
                  <wp:posOffset>-367030</wp:posOffset>
                </wp:positionH>
                <wp:positionV relativeFrom="topMargin">
                  <wp:posOffset>2188845</wp:posOffset>
                </wp:positionV>
                <wp:extent cx="7927975" cy="2038350"/>
                <wp:effectExtent l="13970" t="762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2038350"/>
                        </a:xfrm>
                        <a:prstGeom prst="rect">
                          <a:avLst/>
                        </a:prstGeom>
                        <a:solidFill>
                          <a:schemeClr val="accent1">
                            <a:lumMod val="100000"/>
                            <a:lumOff val="0"/>
                          </a:schemeClr>
                        </a:solidFill>
                        <a:ln w="9525">
                          <a:solidFill>
                            <a:schemeClr val="accent1">
                              <a:lumMod val="100000"/>
                              <a:lumOff val="0"/>
                            </a:schemeClr>
                          </a:solidFill>
                          <a:miter lim="800000"/>
                          <a:headEnd/>
                          <a:tailEnd/>
                        </a:ln>
                      </wps:spPr>
                      <wps:txbx>
                        <w:txbxContent>
                          <w:p w14:paraId="65DAA175" w14:textId="77777777" w:rsidR="00B820B4" w:rsidRDefault="00B820B4"/>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B00FE69" id="Rectangle 2" o:spid="_x0000_s1026" style="position:absolute;left:0;text-align:left;margin-left:-28.9pt;margin-top:172.35pt;width:624.2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" o:allowincell="f" fillcolor="#900 [3204]" strokecolor="#900 [3204]">
                <v:textbox>
                  <w:txbxContent>
                    <w:p w14:paraId="65DAA175" w14:textId="77777777" w:rsidR="00B820B4" w:rsidRDefault="00B820B4"/>
                  </w:txbxContent>
                </v:textbox>
                <w10:wrap anchorx="page" anchory="margin"/>
              </v:rect>
            </w:pict>
          </mc:Fallback>
        </mc:AlternateContent>
      </w:r>
    </w:p>
    <w:p w14:paraId="7B247F35" w14:textId="77777777" w:rsidR="0034497B" w:rsidRDefault="0034497B" w:rsidP="001850B3"/>
    <w:p w14:paraId="423102A0" w14:textId="77777777" w:rsidR="0034497B" w:rsidRPr="004C4893" w:rsidRDefault="00B70CA0" w:rsidP="001850B3">
      <w:pPr>
        <w:sectPr w:rsidR="0034497B" w:rsidRPr="004C4893" w:rsidSect="00F90371">
          <w:headerReference w:type="even" r:id="rId8"/>
          <w:headerReference w:type="default" r:id="rId9"/>
          <w:footerReference w:type="even" r:id="rId10"/>
          <w:footerReference w:type="default" r:id="rId11"/>
          <w:headerReference w:type="first" r:id="rId12"/>
          <w:footerReference w:type="first" r:id="rId13"/>
          <w:endnotePr>
            <w:numFmt w:val="decimal"/>
            <w:numStart w:val="13"/>
          </w:endnotePr>
          <w:pgSz w:w="11906" w:h="16838"/>
          <w:pgMar w:top="1701" w:right="1701" w:bottom="1701" w:left="1701" w:header="284" w:footer="709" w:gutter="0"/>
          <w:cols w:space="708"/>
          <w:docGrid w:linePitch="360"/>
        </w:sectPr>
      </w:pPr>
      <w:r>
        <w:rPr>
          <w:noProof/>
          <w:lang w:eastAsia="da-DK"/>
        </w:rPr>
        <mc:AlternateContent>
          <mc:Choice Requires="wps">
            <w:drawing>
              <wp:anchor distT="0" distB="0" distL="114300" distR="114300" simplePos="0" relativeHeight="251659264" behindDoc="0" locked="0" layoutInCell="1" allowOverlap="1" wp14:anchorId="64F47939" wp14:editId="11DB7A71">
                <wp:simplePos x="0" y="0"/>
                <wp:positionH relativeFrom="column">
                  <wp:posOffset>-299085</wp:posOffset>
                </wp:positionH>
                <wp:positionV relativeFrom="paragraph">
                  <wp:posOffset>979170</wp:posOffset>
                </wp:positionV>
                <wp:extent cx="5791200" cy="40005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005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7D3F4" w14:textId="0F8CD07C"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7B6D74">
                              <w:rPr>
                                <w:rFonts w:ascii="Constantia" w:hAnsi="Constantia"/>
                                <w:color w:val="FF9933"/>
                                <w:sz w:val="28"/>
                                <w:szCs w:val="28"/>
                              </w:rPr>
                              <w:t>2</w:t>
                            </w:r>
                            <w:r>
                              <w:rPr>
                                <w:rFonts w:ascii="Constantia" w:hAnsi="Constantia"/>
                                <w:color w:val="FF9933"/>
                                <w:sz w:val="28"/>
                                <w:szCs w:val="28"/>
                              </w:rPr>
                              <w:t>-202</w:t>
                            </w:r>
                            <w:r w:rsidR="007B6D74">
                              <w:rPr>
                                <w:rFonts w:ascii="Constantia" w:hAnsi="Constantia"/>
                                <w:color w:val="FF9933"/>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47939" id="_x0000_t202" coordsize="21600,21600" o:spt="202" path="m,l,21600r21600,l21600,xe">
                <v:stroke joinstyle="miter"/>
                <v:path gradientshapeok="t" o:connecttype="rect"/>
              </v:shapetype>
              <v:shape id="Text Box 3" o:spid="_x0000_s1027" type="#_x0000_t202" style="position:absolute;left:0;text-align:left;margin-left:-23.55pt;margin-top:77.1pt;width:45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" fillcolor="#900" stroked="f">
                <v:textbox>
                  <w:txbxContent>
                    <w:p w14:paraId="79A7D3F4" w14:textId="0F8CD07C"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7B6D74">
                        <w:rPr>
                          <w:rFonts w:ascii="Constantia" w:hAnsi="Constantia"/>
                          <w:color w:val="FF9933"/>
                          <w:sz w:val="28"/>
                          <w:szCs w:val="28"/>
                        </w:rPr>
                        <w:t>2</w:t>
                      </w:r>
                      <w:r>
                        <w:rPr>
                          <w:rFonts w:ascii="Constantia" w:hAnsi="Constantia"/>
                          <w:color w:val="FF9933"/>
                          <w:sz w:val="28"/>
                          <w:szCs w:val="28"/>
                        </w:rPr>
                        <w:t>-202</w:t>
                      </w:r>
                      <w:r w:rsidR="007B6D74">
                        <w:rPr>
                          <w:rFonts w:ascii="Constantia" w:hAnsi="Constantia"/>
                          <w:color w:val="FF9933"/>
                          <w:sz w:val="28"/>
                          <w:szCs w:val="28"/>
                        </w:rPr>
                        <w:t>5</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2BF508C2" wp14:editId="725DCDCB">
                <wp:simplePos x="0" y="0"/>
                <wp:positionH relativeFrom="column">
                  <wp:posOffset>634365</wp:posOffset>
                </wp:positionH>
                <wp:positionV relativeFrom="paragraph">
                  <wp:posOffset>1455420</wp:posOffset>
                </wp:positionV>
                <wp:extent cx="4905375" cy="71437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14375"/>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AC2A0" w14:textId="77777777" w:rsidR="00B820B4" w:rsidRDefault="00B820B4" w:rsidP="001850B3">
                            <w:pPr>
                              <w:spacing w:line="240" w:lineRule="auto"/>
                              <w:jc w:val="right"/>
                              <w:rPr>
                                <w:rFonts w:ascii="Constantia" w:hAnsi="Constantia"/>
                                <w:sz w:val="40"/>
                                <w:szCs w:val="40"/>
                              </w:rPr>
                            </w:pPr>
                            <w:bookmarkStart w:id="0" w:name="artikel_title"/>
                            <w:bookmarkEnd w:id="0"/>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1" w:name="aar_title"/>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08C2" id="Text Box 4" o:spid="_x0000_s1028" type="#_x0000_t202" style="position:absolute;left:0;text-align:left;margin-left:49.95pt;margin-top:114.6pt;width:386.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" fillcolor="#900" stroked="f">
                <v:textbox>
                  <w:txbxContent>
                    <w:p w14:paraId="30DAC2A0" w14:textId="77777777" w:rsidR="00B820B4" w:rsidRDefault="00B820B4" w:rsidP="001850B3">
                      <w:pPr>
                        <w:spacing w:line="240" w:lineRule="auto"/>
                        <w:jc w:val="right"/>
                        <w:rPr>
                          <w:rFonts w:ascii="Constantia" w:hAnsi="Constantia"/>
                          <w:sz w:val="40"/>
                          <w:szCs w:val="40"/>
                        </w:rPr>
                      </w:pPr>
                      <w:bookmarkStart w:id="2" w:name="artikel_title"/>
                      <w:bookmarkEnd w:id="2"/>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3" w:name="aar_title"/>
                      <w:bookmarkEnd w:id="3"/>
                    </w:p>
                  </w:txbxContent>
                </v:textbox>
              </v:shape>
            </w:pict>
          </mc:Fallback>
        </mc:AlternateContent>
      </w:r>
    </w:p>
    <w:p w14:paraId="6D3E7D07" w14:textId="77777777" w:rsidR="00A302CB" w:rsidRPr="004C2243" w:rsidRDefault="00A302CB" w:rsidP="004C2243">
      <w:bookmarkStart w:id="4" w:name="artikel_overskrift"/>
      <w:bookmarkStart w:id="5" w:name="start"/>
      <w:bookmarkEnd w:id="4"/>
      <w:bookmarkEnd w:id="5"/>
      <w:r>
        <w:br w:type="page"/>
      </w:r>
    </w:p>
    <w:p w14:paraId="114F6BA2" w14:textId="77777777" w:rsidR="00C162FD" w:rsidRDefault="00C162FD" w:rsidP="001850B3">
      <w:pPr>
        <w:pStyle w:val="Titel"/>
      </w:pPr>
    </w:p>
    <w:p w14:paraId="2EE0E385" w14:textId="77777777" w:rsidR="00C162FD" w:rsidRPr="005524C0" w:rsidRDefault="00C162FD" w:rsidP="001850B3">
      <w:pPr>
        <w:pStyle w:val="Overskrift1"/>
      </w:pPr>
      <w:bookmarkStart w:id="6" w:name="_Toc343763686"/>
      <w:bookmarkStart w:id="7" w:name="_Toc343764101"/>
      <w:bookmarkStart w:id="8" w:name="_Toc343772137"/>
      <w:bookmarkStart w:id="9" w:name="_Toc343772365"/>
      <w:bookmarkStart w:id="10" w:name="_Toc141862532"/>
      <w:r w:rsidRPr="005524C0">
        <w:t xml:space="preserve">Vejledning om </w:t>
      </w:r>
      <w:r w:rsidR="00B04A05">
        <w:t>tilsynsdiamanten for pengeinstitutter</w:t>
      </w:r>
      <w:bookmarkEnd w:id="6"/>
      <w:bookmarkEnd w:id="7"/>
      <w:bookmarkEnd w:id="8"/>
      <w:bookmarkEnd w:id="9"/>
      <w:bookmarkEnd w:id="10"/>
    </w:p>
    <w:p w14:paraId="04852B9A" w14:textId="77777777" w:rsidR="00C162FD" w:rsidRDefault="00C162FD" w:rsidP="001850B3">
      <w:pPr>
        <w:pStyle w:val="Overskrift1"/>
      </w:pPr>
    </w:p>
    <w:sdt>
      <w:sdtPr>
        <w:rPr>
          <w:rFonts w:ascii="Arial" w:eastAsia="Calibri" w:hAnsi="Arial" w:cs="Times New Roman"/>
          <w:b w:val="0"/>
          <w:bCs w:val="0"/>
          <w:color w:val="auto"/>
          <w:sz w:val="21"/>
          <w:szCs w:val="22"/>
          <w:lang w:eastAsia="en-US"/>
        </w:rPr>
        <w:id w:val="-2109106611"/>
        <w:docPartObj>
          <w:docPartGallery w:val="Table of Contents"/>
          <w:docPartUnique/>
        </w:docPartObj>
      </w:sdtPr>
      <w:sdtContent>
        <w:p w14:paraId="03E674F6" w14:textId="77777777" w:rsidR="00876761" w:rsidRPr="00094EAA" w:rsidRDefault="00876761">
          <w:pPr>
            <w:pStyle w:val="Overskrift"/>
            <w:rPr>
              <w:rFonts w:ascii="Constantia" w:hAnsi="Constantia"/>
            </w:rPr>
          </w:pPr>
          <w:r w:rsidRPr="00094EAA">
            <w:rPr>
              <w:rFonts w:ascii="Constantia" w:hAnsi="Constantia"/>
            </w:rPr>
            <w:t>Indholdsfortegnelse</w:t>
          </w:r>
        </w:p>
        <w:p w14:paraId="0DFFF774" w14:textId="3A710225" w:rsidR="00361CDE" w:rsidRDefault="00876761">
          <w:pPr>
            <w:pStyle w:val="Indholdsfortegnelse1"/>
            <w:rPr>
              <w:rFonts w:asciiTheme="minorHAnsi" w:eastAsiaTheme="minorEastAsia" w:hAnsiTheme="minorHAnsi" w:cstheme="minorBidi"/>
              <w:kern w:val="2"/>
              <w:sz w:val="22"/>
              <w:lang w:eastAsia="da-DK"/>
              <w14:ligatures w14:val="standardContextual"/>
            </w:rPr>
          </w:pPr>
          <w:r>
            <w:fldChar w:fldCharType="begin"/>
          </w:r>
          <w:r>
            <w:instrText xml:space="preserve"> TOC \o "1-3" \h \z \u </w:instrText>
          </w:r>
          <w:r>
            <w:fldChar w:fldCharType="separate"/>
          </w:r>
          <w:hyperlink w:anchor="_Toc141862532" w:history="1">
            <w:r w:rsidR="00361CDE" w:rsidRPr="000B0B0D">
              <w:rPr>
                <w:rStyle w:val="Hyperlink"/>
              </w:rPr>
              <w:t>Vejledning om tilsynsdiamanten for pengeinstitutter</w:t>
            </w:r>
            <w:r w:rsidR="00361CDE">
              <w:rPr>
                <w:webHidden/>
              </w:rPr>
              <w:tab/>
            </w:r>
            <w:r w:rsidR="00361CDE">
              <w:rPr>
                <w:webHidden/>
              </w:rPr>
              <w:fldChar w:fldCharType="begin"/>
            </w:r>
            <w:r w:rsidR="00361CDE">
              <w:rPr>
                <w:webHidden/>
              </w:rPr>
              <w:instrText xml:space="preserve"> PAGEREF _Toc141862532 \h </w:instrText>
            </w:r>
            <w:r w:rsidR="00361CDE">
              <w:rPr>
                <w:webHidden/>
              </w:rPr>
            </w:r>
            <w:r w:rsidR="00361CDE">
              <w:rPr>
                <w:webHidden/>
              </w:rPr>
              <w:fldChar w:fldCharType="separate"/>
            </w:r>
            <w:r w:rsidR="00361CDE">
              <w:rPr>
                <w:webHidden/>
              </w:rPr>
              <w:t>2</w:t>
            </w:r>
            <w:r w:rsidR="00361CDE">
              <w:rPr>
                <w:webHidden/>
              </w:rPr>
              <w:fldChar w:fldCharType="end"/>
            </w:r>
          </w:hyperlink>
        </w:p>
        <w:p w14:paraId="2FC4DBDB" w14:textId="7F6F9CD7"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3" w:history="1">
            <w:r w:rsidRPr="000B0B0D">
              <w:rPr>
                <w:rStyle w:val="Hyperlink"/>
              </w:rPr>
              <w:t>1.</w:t>
            </w:r>
            <w:r>
              <w:rPr>
                <w:rFonts w:asciiTheme="minorHAnsi" w:eastAsiaTheme="minorEastAsia" w:hAnsiTheme="minorHAnsi" w:cstheme="minorBidi"/>
                <w:kern w:val="2"/>
                <w:sz w:val="22"/>
                <w:lang w:eastAsia="da-DK"/>
                <w14:ligatures w14:val="standardContextual"/>
              </w:rPr>
              <w:tab/>
            </w:r>
            <w:r w:rsidRPr="000B0B0D">
              <w:rPr>
                <w:rStyle w:val="Hyperlink"/>
              </w:rPr>
              <w:t>Indledning</w:t>
            </w:r>
            <w:r>
              <w:rPr>
                <w:webHidden/>
              </w:rPr>
              <w:tab/>
            </w:r>
            <w:r>
              <w:rPr>
                <w:webHidden/>
              </w:rPr>
              <w:fldChar w:fldCharType="begin"/>
            </w:r>
            <w:r>
              <w:rPr>
                <w:webHidden/>
              </w:rPr>
              <w:instrText xml:space="preserve"> PAGEREF _Toc141862533 \h </w:instrText>
            </w:r>
            <w:r>
              <w:rPr>
                <w:webHidden/>
              </w:rPr>
            </w:r>
            <w:r>
              <w:rPr>
                <w:webHidden/>
              </w:rPr>
              <w:fldChar w:fldCharType="separate"/>
            </w:r>
            <w:r>
              <w:rPr>
                <w:webHidden/>
              </w:rPr>
              <w:t>4</w:t>
            </w:r>
            <w:r>
              <w:rPr>
                <w:webHidden/>
              </w:rPr>
              <w:fldChar w:fldCharType="end"/>
            </w:r>
          </w:hyperlink>
        </w:p>
        <w:p w14:paraId="2E333BAC" w14:textId="6C0E08DE"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4" w:history="1">
            <w:r w:rsidRPr="000B0B0D">
              <w:rPr>
                <w:rStyle w:val="Hyperlink"/>
              </w:rPr>
              <w:t>2.</w:t>
            </w:r>
            <w:r>
              <w:rPr>
                <w:rFonts w:asciiTheme="minorHAnsi" w:eastAsiaTheme="minorEastAsia" w:hAnsiTheme="minorHAnsi" w:cstheme="minorBidi"/>
                <w:kern w:val="2"/>
                <w:sz w:val="22"/>
                <w:lang w:eastAsia="da-DK"/>
                <w14:ligatures w14:val="standardContextual"/>
              </w:rPr>
              <w:tab/>
            </w:r>
            <w:r w:rsidRPr="000B0B0D">
              <w:rPr>
                <w:rStyle w:val="Hyperlink"/>
              </w:rPr>
              <w:t>Tilsynsdiamantens pejlemærker</w:t>
            </w:r>
            <w:r>
              <w:rPr>
                <w:webHidden/>
              </w:rPr>
              <w:tab/>
            </w:r>
            <w:r>
              <w:rPr>
                <w:webHidden/>
              </w:rPr>
              <w:fldChar w:fldCharType="begin"/>
            </w:r>
            <w:r>
              <w:rPr>
                <w:webHidden/>
              </w:rPr>
              <w:instrText xml:space="preserve"> PAGEREF _Toc141862534 \h </w:instrText>
            </w:r>
            <w:r>
              <w:rPr>
                <w:webHidden/>
              </w:rPr>
            </w:r>
            <w:r>
              <w:rPr>
                <w:webHidden/>
              </w:rPr>
              <w:fldChar w:fldCharType="separate"/>
            </w:r>
            <w:r>
              <w:rPr>
                <w:webHidden/>
              </w:rPr>
              <w:t>5</w:t>
            </w:r>
            <w:r>
              <w:rPr>
                <w:webHidden/>
              </w:rPr>
              <w:fldChar w:fldCharType="end"/>
            </w:r>
          </w:hyperlink>
        </w:p>
        <w:p w14:paraId="7E850A86" w14:textId="1157041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5" w:history="1">
            <w:r w:rsidRPr="000B0B0D">
              <w:rPr>
                <w:rStyle w:val="Hyperlink"/>
              </w:rPr>
              <w:t>2.1. Summen af store eksponeringer under 175 pct.</w:t>
            </w:r>
            <w:r>
              <w:rPr>
                <w:webHidden/>
              </w:rPr>
              <w:tab/>
            </w:r>
            <w:r>
              <w:rPr>
                <w:webHidden/>
              </w:rPr>
              <w:fldChar w:fldCharType="begin"/>
            </w:r>
            <w:r>
              <w:rPr>
                <w:webHidden/>
              </w:rPr>
              <w:instrText xml:space="preserve"> PAGEREF _Toc141862535 \h </w:instrText>
            </w:r>
            <w:r>
              <w:rPr>
                <w:webHidden/>
              </w:rPr>
            </w:r>
            <w:r>
              <w:rPr>
                <w:webHidden/>
              </w:rPr>
              <w:fldChar w:fldCharType="separate"/>
            </w:r>
            <w:r>
              <w:rPr>
                <w:webHidden/>
              </w:rPr>
              <w:t>5</w:t>
            </w:r>
            <w:r>
              <w:rPr>
                <w:webHidden/>
              </w:rPr>
              <w:fldChar w:fldCharType="end"/>
            </w:r>
          </w:hyperlink>
        </w:p>
        <w:p w14:paraId="50F1BD1A" w14:textId="3DE08E91"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6" w:history="1">
            <w:r w:rsidRPr="000B0B0D">
              <w:rPr>
                <w:rStyle w:val="Hyperlink"/>
              </w:rPr>
              <w:t>2.2. Udlånsvækst under 20 pct.</w:t>
            </w:r>
            <w:r>
              <w:rPr>
                <w:webHidden/>
              </w:rPr>
              <w:tab/>
            </w:r>
            <w:r>
              <w:rPr>
                <w:webHidden/>
              </w:rPr>
              <w:fldChar w:fldCharType="begin"/>
            </w:r>
            <w:r>
              <w:rPr>
                <w:webHidden/>
              </w:rPr>
              <w:instrText xml:space="preserve"> PAGEREF _Toc141862536 \h </w:instrText>
            </w:r>
            <w:r>
              <w:rPr>
                <w:webHidden/>
              </w:rPr>
            </w:r>
            <w:r>
              <w:rPr>
                <w:webHidden/>
              </w:rPr>
              <w:fldChar w:fldCharType="separate"/>
            </w:r>
            <w:r>
              <w:rPr>
                <w:webHidden/>
              </w:rPr>
              <w:t>5</w:t>
            </w:r>
            <w:r>
              <w:rPr>
                <w:webHidden/>
              </w:rPr>
              <w:fldChar w:fldCharType="end"/>
            </w:r>
          </w:hyperlink>
        </w:p>
        <w:p w14:paraId="64F06330" w14:textId="5621E05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7" w:history="1">
            <w:r w:rsidRPr="000B0B0D">
              <w:rPr>
                <w:rStyle w:val="Hyperlink"/>
              </w:rPr>
              <w:t>2.3. Ejendomseksponering under 25 pct.</w:t>
            </w:r>
            <w:r>
              <w:rPr>
                <w:webHidden/>
              </w:rPr>
              <w:tab/>
            </w:r>
            <w:r>
              <w:rPr>
                <w:webHidden/>
              </w:rPr>
              <w:fldChar w:fldCharType="begin"/>
            </w:r>
            <w:r>
              <w:rPr>
                <w:webHidden/>
              </w:rPr>
              <w:instrText xml:space="preserve"> PAGEREF _Toc141862537 \h </w:instrText>
            </w:r>
            <w:r>
              <w:rPr>
                <w:webHidden/>
              </w:rPr>
            </w:r>
            <w:r>
              <w:rPr>
                <w:webHidden/>
              </w:rPr>
              <w:fldChar w:fldCharType="separate"/>
            </w:r>
            <w:r>
              <w:rPr>
                <w:webHidden/>
              </w:rPr>
              <w:t>6</w:t>
            </w:r>
            <w:r>
              <w:rPr>
                <w:webHidden/>
              </w:rPr>
              <w:fldChar w:fldCharType="end"/>
            </w:r>
          </w:hyperlink>
        </w:p>
        <w:p w14:paraId="751A12FC" w14:textId="6D494A8D"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8" w:history="1">
            <w:r w:rsidRPr="000B0B0D">
              <w:rPr>
                <w:rStyle w:val="Hyperlink"/>
              </w:rPr>
              <w:t>2.4. Likviditetspejlemærke skal være større end 100 pct.</w:t>
            </w:r>
            <w:r>
              <w:rPr>
                <w:webHidden/>
              </w:rPr>
              <w:tab/>
            </w:r>
            <w:r>
              <w:rPr>
                <w:webHidden/>
              </w:rPr>
              <w:fldChar w:fldCharType="begin"/>
            </w:r>
            <w:r>
              <w:rPr>
                <w:webHidden/>
              </w:rPr>
              <w:instrText xml:space="preserve"> PAGEREF _Toc141862538 \h </w:instrText>
            </w:r>
            <w:r>
              <w:rPr>
                <w:webHidden/>
              </w:rPr>
            </w:r>
            <w:r>
              <w:rPr>
                <w:webHidden/>
              </w:rPr>
              <w:fldChar w:fldCharType="separate"/>
            </w:r>
            <w:r>
              <w:rPr>
                <w:webHidden/>
              </w:rPr>
              <w:t>6</w:t>
            </w:r>
            <w:r>
              <w:rPr>
                <w:webHidden/>
              </w:rPr>
              <w:fldChar w:fldCharType="end"/>
            </w:r>
          </w:hyperlink>
        </w:p>
        <w:p w14:paraId="045732A1" w14:textId="758A0476" w:rsidR="00361CDE" w:rsidRDefault="00361CDE">
          <w:pPr>
            <w:pStyle w:val="Indholdsfortegnelse3"/>
            <w:tabs>
              <w:tab w:val="right" w:leader="dot" w:pos="8494"/>
            </w:tabs>
            <w:rPr>
              <w:rFonts w:asciiTheme="minorHAnsi" w:eastAsiaTheme="minorEastAsia" w:hAnsiTheme="minorHAnsi" w:cstheme="minorBidi"/>
              <w:noProof/>
              <w:kern w:val="2"/>
              <w:sz w:val="22"/>
              <w:lang w:eastAsia="da-DK"/>
              <w14:ligatures w14:val="standardContextual"/>
            </w:rPr>
          </w:pPr>
          <w:hyperlink w:anchor="_Toc141862539" w:history="1">
            <w:r w:rsidRPr="000B0B0D">
              <w:rPr>
                <w:rStyle w:val="Hyperlink"/>
                <w:noProof/>
              </w:rPr>
              <w:t>Specialtilfælde hvor udgående pengestrømme er mindre end eller lig med indgående pengestrømme</w:t>
            </w:r>
            <w:r>
              <w:rPr>
                <w:noProof/>
                <w:webHidden/>
              </w:rPr>
              <w:tab/>
            </w:r>
            <w:r>
              <w:rPr>
                <w:noProof/>
                <w:webHidden/>
              </w:rPr>
              <w:fldChar w:fldCharType="begin"/>
            </w:r>
            <w:r>
              <w:rPr>
                <w:noProof/>
                <w:webHidden/>
              </w:rPr>
              <w:instrText xml:space="preserve"> PAGEREF _Toc141862539 \h </w:instrText>
            </w:r>
            <w:r>
              <w:rPr>
                <w:noProof/>
                <w:webHidden/>
              </w:rPr>
            </w:r>
            <w:r>
              <w:rPr>
                <w:noProof/>
                <w:webHidden/>
              </w:rPr>
              <w:fldChar w:fldCharType="separate"/>
            </w:r>
            <w:r>
              <w:rPr>
                <w:noProof/>
                <w:webHidden/>
              </w:rPr>
              <w:t>6</w:t>
            </w:r>
            <w:r>
              <w:rPr>
                <w:noProof/>
                <w:webHidden/>
              </w:rPr>
              <w:fldChar w:fldCharType="end"/>
            </w:r>
          </w:hyperlink>
        </w:p>
        <w:p w14:paraId="203DFF51" w14:textId="5AC838E8"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0" w:history="1">
            <w:r w:rsidRPr="000B0B0D">
              <w:rPr>
                <w:rStyle w:val="Hyperlink"/>
              </w:rPr>
              <w:t>3.</w:t>
            </w:r>
            <w:r>
              <w:rPr>
                <w:rFonts w:asciiTheme="minorHAnsi" w:eastAsiaTheme="minorEastAsia" w:hAnsiTheme="minorHAnsi" w:cstheme="minorBidi"/>
                <w:kern w:val="2"/>
                <w:sz w:val="22"/>
                <w:lang w:eastAsia="da-DK"/>
                <w14:ligatures w14:val="standardContextual"/>
              </w:rPr>
              <w:tab/>
            </w:r>
            <w:r w:rsidRPr="000B0B0D">
              <w:rPr>
                <w:rStyle w:val="Hyperlink"/>
              </w:rPr>
              <w:t>Tilsynsstigen</w:t>
            </w:r>
            <w:r>
              <w:rPr>
                <w:webHidden/>
              </w:rPr>
              <w:tab/>
            </w:r>
            <w:r>
              <w:rPr>
                <w:webHidden/>
              </w:rPr>
              <w:fldChar w:fldCharType="begin"/>
            </w:r>
            <w:r>
              <w:rPr>
                <w:webHidden/>
              </w:rPr>
              <w:instrText xml:space="preserve"> PAGEREF _Toc141862540 \h </w:instrText>
            </w:r>
            <w:r>
              <w:rPr>
                <w:webHidden/>
              </w:rPr>
            </w:r>
            <w:r>
              <w:rPr>
                <w:webHidden/>
              </w:rPr>
              <w:fldChar w:fldCharType="separate"/>
            </w:r>
            <w:r>
              <w:rPr>
                <w:webHidden/>
              </w:rPr>
              <w:t>7</w:t>
            </w:r>
            <w:r>
              <w:rPr>
                <w:webHidden/>
              </w:rPr>
              <w:fldChar w:fldCharType="end"/>
            </w:r>
          </w:hyperlink>
        </w:p>
        <w:p w14:paraId="05787C14" w14:textId="478C7657"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1" w:history="1">
            <w:r w:rsidRPr="000B0B0D">
              <w:rPr>
                <w:rStyle w:val="Hyperlink"/>
              </w:rPr>
              <w:t>3.1. Reaktionsmuligheder</w:t>
            </w:r>
            <w:r>
              <w:rPr>
                <w:webHidden/>
              </w:rPr>
              <w:tab/>
            </w:r>
            <w:r>
              <w:rPr>
                <w:webHidden/>
              </w:rPr>
              <w:fldChar w:fldCharType="begin"/>
            </w:r>
            <w:r>
              <w:rPr>
                <w:webHidden/>
              </w:rPr>
              <w:instrText xml:space="preserve"> PAGEREF _Toc141862541 \h </w:instrText>
            </w:r>
            <w:r>
              <w:rPr>
                <w:webHidden/>
              </w:rPr>
            </w:r>
            <w:r>
              <w:rPr>
                <w:webHidden/>
              </w:rPr>
              <w:fldChar w:fldCharType="separate"/>
            </w:r>
            <w:r>
              <w:rPr>
                <w:webHidden/>
              </w:rPr>
              <w:t>7</w:t>
            </w:r>
            <w:r>
              <w:rPr>
                <w:webHidden/>
              </w:rPr>
              <w:fldChar w:fldCharType="end"/>
            </w:r>
          </w:hyperlink>
        </w:p>
        <w:p w14:paraId="7A3CC0D6" w14:textId="46B8CEDC"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2" w:history="1">
            <w:r w:rsidRPr="000B0B0D">
              <w:rPr>
                <w:rStyle w:val="Hyperlink"/>
                <w:i/>
              </w:rPr>
              <w:t>3.1.1 Skærpet overvågning</w:t>
            </w:r>
            <w:r>
              <w:rPr>
                <w:webHidden/>
              </w:rPr>
              <w:tab/>
            </w:r>
            <w:r>
              <w:rPr>
                <w:webHidden/>
              </w:rPr>
              <w:fldChar w:fldCharType="begin"/>
            </w:r>
            <w:r>
              <w:rPr>
                <w:webHidden/>
              </w:rPr>
              <w:instrText xml:space="preserve"> PAGEREF _Toc141862542 \h </w:instrText>
            </w:r>
            <w:r>
              <w:rPr>
                <w:webHidden/>
              </w:rPr>
            </w:r>
            <w:r>
              <w:rPr>
                <w:webHidden/>
              </w:rPr>
              <w:fldChar w:fldCharType="separate"/>
            </w:r>
            <w:r>
              <w:rPr>
                <w:webHidden/>
              </w:rPr>
              <w:t>8</w:t>
            </w:r>
            <w:r>
              <w:rPr>
                <w:webHidden/>
              </w:rPr>
              <w:fldChar w:fldCharType="end"/>
            </w:r>
          </w:hyperlink>
        </w:p>
        <w:p w14:paraId="07BECD14" w14:textId="2DB89A4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3" w:history="1">
            <w:r w:rsidRPr="000B0B0D">
              <w:rPr>
                <w:rStyle w:val="Hyperlink"/>
                <w:i/>
              </w:rPr>
              <w:t>3.1.2 Risikooplysninger og samtidig offentliggørelse af disse</w:t>
            </w:r>
            <w:r>
              <w:rPr>
                <w:webHidden/>
              </w:rPr>
              <w:tab/>
            </w:r>
            <w:r>
              <w:rPr>
                <w:webHidden/>
              </w:rPr>
              <w:fldChar w:fldCharType="begin"/>
            </w:r>
            <w:r>
              <w:rPr>
                <w:webHidden/>
              </w:rPr>
              <w:instrText xml:space="preserve"> PAGEREF _Toc141862543 \h </w:instrText>
            </w:r>
            <w:r>
              <w:rPr>
                <w:webHidden/>
              </w:rPr>
            </w:r>
            <w:r>
              <w:rPr>
                <w:webHidden/>
              </w:rPr>
              <w:fldChar w:fldCharType="separate"/>
            </w:r>
            <w:r>
              <w:rPr>
                <w:webHidden/>
              </w:rPr>
              <w:t>8</w:t>
            </w:r>
            <w:r>
              <w:rPr>
                <w:webHidden/>
              </w:rPr>
              <w:fldChar w:fldCharType="end"/>
            </w:r>
          </w:hyperlink>
        </w:p>
        <w:p w14:paraId="3DCE2B24" w14:textId="3443877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4" w:history="1">
            <w:r w:rsidRPr="000B0B0D">
              <w:rPr>
                <w:rStyle w:val="Hyperlink"/>
                <w:i/>
              </w:rPr>
              <w:t>3.1.3. Redegørelse og/eller undersøgelse af instituttet</w:t>
            </w:r>
            <w:r>
              <w:rPr>
                <w:webHidden/>
              </w:rPr>
              <w:tab/>
            </w:r>
            <w:r>
              <w:rPr>
                <w:webHidden/>
              </w:rPr>
              <w:fldChar w:fldCharType="begin"/>
            </w:r>
            <w:r>
              <w:rPr>
                <w:webHidden/>
              </w:rPr>
              <w:instrText xml:space="preserve"> PAGEREF _Toc141862544 \h </w:instrText>
            </w:r>
            <w:r>
              <w:rPr>
                <w:webHidden/>
              </w:rPr>
            </w:r>
            <w:r>
              <w:rPr>
                <w:webHidden/>
              </w:rPr>
              <w:fldChar w:fldCharType="separate"/>
            </w:r>
            <w:r>
              <w:rPr>
                <w:webHidden/>
              </w:rPr>
              <w:t>8</w:t>
            </w:r>
            <w:r>
              <w:rPr>
                <w:webHidden/>
              </w:rPr>
              <w:fldChar w:fldCharType="end"/>
            </w:r>
          </w:hyperlink>
        </w:p>
        <w:p w14:paraId="2959EABB" w14:textId="15647814"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5" w:history="1">
            <w:r w:rsidRPr="000B0B0D">
              <w:rPr>
                <w:rStyle w:val="Hyperlink"/>
                <w:i/>
              </w:rPr>
              <w:t>3.1.4. FiL § 350 - påbud</w:t>
            </w:r>
            <w:r>
              <w:rPr>
                <w:webHidden/>
              </w:rPr>
              <w:tab/>
            </w:r>
            <w:r>
              <w:rPr>
                <w:webHidden/>
              </w:rPr>
              <w:fldChar w:fldCharType="begin"/>
            </w:r>
            <w:r>
              <w:rPr>
                <w:webHidden/>
              </w:rPr>
              <w:instrText xml:space="preserve"> PAGEREF _Toc141862545 \h </w:instrText>
            </w:r>
            <w:r>
              <w:rPr>
                <w:webHidden/>
              </w:rPr>
            </w:r>
            <w:r>
              <w:rPr>
                <w:webHidden/>
              </w:rPr>
              <w:fldChar w:fldCharType="separate"/>
            </w:r>
            <w:r>
              <w:rPr>
                <w:webHidden/>
              </w:rPr>
              <w:t>9</w:t>
            </w:r>
            <w:r>
              <w:rPr>
                <w:webHidden/>
              </w:rPr>
              <w:fldChar w:fldCharType="end"/>
            </w:r>
          </w:hyperlink>
        </w:p>
        <w:p w14:paraId="798EDBED" w14:textId="43850A2B"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6" w:history="1">
            <w:r w:rsidRPr="000B0B0D">
              <w:rPr>
                <w:rStyle w:val="Hyperlink"/>
              </w:rPr>
              <w:t>4.</w:t>
            </w:r>
            <w:r>
              <w:rPr>
                <w:rFonts w:asciiTheme="minorHAnsi" w:eastAsiaTheme="minorEastAsia" w:hAnsiTheme="minorHAnsi" w:cstheme="minorBidi"/>
                <w:kern w:val="2"/>
                <w:sz w:val="22"/>
                <w:lang w:eastAsia="da-DK"/>
                <w14:ligatures w14:val="standardContextual"/>
              </w:rPr>
              <w:tab/>
            </w:r>
            <w:r w:rsidRPr="000B0B0D">
              <w:rPr>
                <w:rStyle w:val="Hyperlink"/>
              </w:rPr>
              <w:t>Offentliggørelsesforpligtelser i forbindelse med tilsynsdiamanten</w:t>
            </w:r>
            <w:r>
              <w:rPr>
                <w:webHidden/>
              </w:rPr>
              <w:tab/>
            </w:r>
            <w:r>
              <w:rPr>
                <w:webHidden/>
              </w:rPr>
              <w:fldChar w:fldCharType="begin"/>
            </w:r>
            <w:r>
              <w:rPr>
                <w:webHidden/>
              </w:rPr>
              <w:instrText xml:space="preserve"> PAGEREF _Toc141862546 \h </w:instrText>
            </w:r>
            <w:r>
              <w:rPr>
                <w:webHidden/>
              </w:rPr>
            </w:r>
            <w:r>
              <w:rPr>
                <w:webHidden/>
              </w:rPr>
              <w:fldChar w:fldCharType="separate"/>
            </w:r>
            <w:r>
              <w:rPr>
                <w:webHidden/>
              </w:rPr>
              <w:t>9</w:t>
            </w:r>
            <w:r>
              <w:rPr>
                <w:webHidden/>
              </w:rPr>
              <w:fldChar w:fldCharType="end"/>
            </w:r>
          </w:hyperlink>
        </w:p>
        <w:p w14:paraId="789804B0" w14:textId="2856E00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7" w:history="1">
            <w:r w:rsidRPr="000B0B0D">
              <w:rPr>
                <w:rStyle w:val="Hyperlink"/>
              </w:rPr>
              <w:t>Bilag 1 – Teknisk beregning af likviditetspejlemærket</w:t>
            </w:r>
            <w:r>
              <w:rPr>
                <w:webHidden/>
              </w:rPr>
              <w:tab/>
            </w:r>
            <w:r>
              <w:rPr>
                <w:webHidden/>
              </w:rPr>
              <w:fldChar w:fldCharType="begin"/>
            </w:r>
            <w:r>
              <w:rPr>
                <w:webHidden/>
              </w:rPr>
              <w:instrText xml:space="preserve"> PAGEREF _Toc141862547 \h </w:instrText>
            </w:r>
            <w:r>
              <w:rPr>
                <w:webHidden/>
              </w:rPr>
            </w:r>
            <w:r>
              <w:rPr>
                <w:webHidden/>
              </w:rPr>
              <w:fldChar w:fldCharType="separate"/>
            </w:r>
            <w:r>
              <w:rPr>
                <w:webHidden/>
              </w:rPr>
              <w:t>11</w:t>
            </w:r>
            <w:r>
              <w:rPr>
                <w:webHidden/>
              </w:rPr>
              <w:fldChar w:fldCharType="end"/>
            </w:r>
          </w:hyperlink>
        </w:p>
        <w:p w14:paraId="7AF8BBDC" w14:textId="1D73802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8" w:history="1">
            <w:r w:rsidRPr="000B0B0D">
              <w:rPr>
                <w:rStyle w:val="Hyperlink"/>
              </w:rPr>
              <w:t>Offentliggørelsesforpligtelser for færøske pengeinstitutter og Grønlandsbanken i forbindelse med tilsynsdiamanten</w:t>
            </w:r>
            <w:r>
              <w:rPr>
                <w:webHidden/>
              </w:rPr>
              <w:tab/>
            </w:r>
            <w:r>
              <w:rPr>
                <w:webHidden/>
              </w:rPr>
              <w:fldChar w:fldCharType="begin"/>
            </w:r>
            <w:r>
              <w:rPr>
                <w:webHidden/>
              </w:rPr>
              <w:instrText xml:space="preserve"> PAGEREF _Toc141862548 \h </w:instrText>
            </w:r>
            <w:r>
              <w:rPr>
                <w:webHidden/>
              </w:rPr>
            </w:r>
            <w:r>
              <w:rPr>
                <w:webHidden/>
              </w:rPr>
              <w:fldChar w:fldCharType="separate"/>
            </w:r>
            <w:r>
              <w:rPr>
                <w:webHidden/>
              </w:rPr>
              <w:t>14</w:t>
            </w:r>
            <w:r>
              <w:rPr>
                <w:webHidden/>
              </w:rPr>
              <w:fldChar w:fldCharType="end"/>
            </w:r>
          </w:hyperlink>
        </w:p>
        <w:p w14:paraId="2579ED58" w14:textId="0FD655EC" w:rsidR="00876761" w:rsidRDefault="00876761">
          <w:r>
            <w:rPr>
              <w:b/>
              <w:bCs/>
            </w:rPr>
            <w:fldChar w:fldCharType="end"/>
          </w:r>
        </w:p>
      </w:sdtContent>
    </w:sdt>
    <w:p w14:paraId="51930DD4" w14:textId="77777777" w:rsidR="008C100E" w:rsidRPr="008C100E" w:rsidRDefault="008C100E" w:rsidP="008C100E"/>
    <w:p w14:paraId="11865516" w14:textId="77777777" w:rsidR="004C2243" w:rsidRDefault="004C224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iCs/>
          <w:sz w:val="22"/>
          <w:szCs w:val="28"/>
        </w:rPr>
      </w:pPr>
      <w:bookmarkStart w:id="11" w:name="_Toc343763687"/>
      <w:r>
        <w:br w:type="page"/>
      </w:r>
    </w:p>
    <w:p w14:paraId="697AE303" w14:textId="77777777" w:rsidR="00C162FD" w:rsidRPr="004C4893" w:rsidRDefault="00C162FD" w:rsidP="00AA276D">
      <w:pPr>
        <w:pStyle w:val="Overskrift2"/>
        <w:numPr>
          <w:ilvl w:val="0"/>
          <w:numId w:val="21"/>
        </w:numPr>
        <w:rPr>
          <w:szCs w:val="24"/>
        </w:rPr>
      </w:pPr>
      <w:bookmarkStart w:id="12" w:name="_Toc141862533"/>
      <w:r w:rsidRPr="004C4893">
        <w:lastRenderedPageBreak/>
        <w:t>Indled</w:t>
      </w:r>
      <w:r w:rsidRPr="004C4893">
        <w:rPr>
          <w:szCs w:val="24"/>
        </w:rPr>
        <w:t>ning</w:t>
      </w:r>
      <w:bookmarkEnd w:id="11"/>
      <w:bookmarkEnd w:id="12"/>
    </w:p>
    <w:p w14:paraId="2A63E8DF" w14:textId="77777777" w:rsidR="004C2243" w:rsidRDefault="004C2243" w:rsidP="001E4813"/>
    <w:p w14:paraId="55E97360" w14:textId="4F396EF2" w:rsidR="00F7476B" w:rsidRDefault="00CD5C74" w:rsidP="001E4813">
      <w:r w:rsidRPr="00CD5C74">
        <w:drawing>
          <wp:anchor distT="0" distB="0" distL="114300" distR="114300" simplePos="0" relativeHeight="251683840" behindDoc="0" locked="0" layoutInCell="1" allowOverlap="1" wp14:anchorId="2F414859" wp14:editId="69622390">
            <wp:simplePos x="0" y="0"/>
            <wp:positionH relativeFrom="margin">
              <wp:align>right</wp:align>
            </wp:positionH>
            <wp:positionV relativeFrom="paragraph">
              <wp:posOffset>486603</wp:posOffset>
            </wp:positionV>
            <wp:extent cx="5400040" cy="3260090"/>
            <wp:effectExtent l="0" t="0" r="0" b="0"/>
            <wp:wrapTopAndBottom/>
            <wp:docPr id="136218893" name="Billede 1" descr="Et billede, der indeholder linje/række, origami,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8893" name="Billede 1" descr="Et billede, der indeholder linje/række, origami, design&#10;&#10;Indhold genereret af kunstig intelligens kan være forkert."/>
                    <pic:cNvPicPr/>
                  </pic:nvPicPr>
                  <pic:blipFill>
                    <a:blip r:embed="rId14">
                      <a:extLst>
                        <a:ext uri="{28A0092B-C50C-407E-A947-70E740481C1C}">
                          <a14:useLocalDpi xmlns:a14="http://schemas.microsoft.com/office/drawing/2010/main" val="0"/>
                        </a:ext>
                      </a:extLst>
                    </a:blip>
                    <a:stretch>
                      <a:fillRect/>
                    </a:stretch>
                  </pic:blipFill>
                  <pic:spPr>
                    <a:xfrm>
                      <a:off x="0" y="0"/>
                      <a:ext cx="5400040" cy="3260090"/>
                    </a:xfrm>
                    <a:prstGeom prst="rect">
                      <a:avLst/>
                    </a:prstGeom>
                  </pic:spPr>
                </pic:pic>
              </a:graphicData>
            </a:graphic>
          </wp:anchor>
        </w:drawing>
      </w:r>
      <w:r w:rsidR="006E7EBB" w:rsidRPr="001E4813">
        <w:t xml:space="preserve">Vejledningen </w:t>
      </w:r>
      <w:r w:rsidR="001E4813">
        <w:t>indeholder Fina</w:t>
      </w:r>
      <w:r w:rsidR="00DC5D58">
        <w:t>nstilsynets anvisninger på beregning</w:t>
      </w:r>
      <w:r w:rsidR="001E4813">
        <w:t xml:space="preserve"> a</w:t>
      </w:r>
      <w:r w:rsidR="008C100E">
        <w:t>f tilsynsdiamantens pejlemærker med tilhørende grænseværdier.</w:t>
      </w:r>
      <w:r w:rsidR="001E4813">
        <w:t xml:space="preserve"> </w:t>
      </w:r>
    </w:p>
    <w:p w14:paraId="73D92D78" w14:textId="7F3EB8CE" w:rsidR="00CD5C74" w:rsidRDefault="00CD5C74" w:rsidP="001E4813"/>
    <w:p w14:paraId="1A527337" w14:textId="5A907B5B" w:rsidR="008C100E" w:rsidRDefault="008C100E" w:rsidP="001E4813">
      <w:proofErr w:type="gramStart"/>
      <w:r>
        <w:t>Endvidere</w:t>
      </w:r>
      <w:proofErr w:type="gramEnd"/>
      <w:r>
        <w:t xml:space="preserve"> har vejledningen </w:t>
      </w:r>
      <w:r w:rsidR="00F7476B">
        <w:t>til hensigt at skabe gennemsigtighed i forhold til Finanstilsynets praksis omkring håndhævelsen af tilsynsdiamanten</w:t>
      </w:r>
      <w:r>
        <w:t xml:space="preserve">, herunder tilsynspraksis ved overskridelser samt skabe klarhed om institutternes oplysningsforpligtelser. </w:t>
      </w:r>
    </w:p>
    <w:p w14:paraId="681AC6FD" w14:textId="77777777" w:rsidR="00DA4D97" w:rsidRDefault="00DA4D97" w:rsidP="00F62BA7">
      <w:pPr>
        <w:rPr>
          <w:iCs/>
        </w:rPr>
      </w:pPr>
    </w:p>
    <w:p w14:paraId="6650D916" w14:textId="77777777" w:rsidR="00F62BA7" w:rsidRDefault="00F62BA7" w:rsidP="00F62BA7">
      <w:pPr>
        <w:rPr>
          <w:iCs/>
        </w:rPr>
      </w:pPr>
      <w:r>
        <w:rPr>
          <w:iCs/>
        </w:rPr>
        <w:t xml:space="preserve">Erfaringsmæssigt er der en række </w:t>
      </w:r>
      <w:r w:rsidRPr="004D324B">
        <w:rPr>
          <w:iCs/>
        </w:rPr>
        <w:t>fællestræk, som k</w:t>
      </w:r>
      <w:r w:rsidRPr="006456A6">
        <w:rPr>
          <w:iCs/>
        </w:rPr>
        <w:t xml:space="preserve">arakteriserer pengeinstitutter, der </w:t>
      </w:r>
      <w:r>
        <w:rPr>
          <w:iCs/>
        </w:rPr>
        <w:t xml:space="preserve">er kommet i problemer </w:t>
      </w:r>
      <w:r w:rsidRPr="006456A6">
        <w:rPr>
          <w:iCs/>
        </w:rPr>
        <w:t>under kri</w:t>
      </w:r>
      <w:r>
        <w:rPr>
          <w:iCs/>
        </w:rPr>
        <w:t>sen. Kendetegnene er bl.a. h</w:t>
      </w:r>
      <w:r w:rsidRPr="006456A6">
        <w:rPr>
          <w:iCs/>
        </w:rPr>
        <w:t>øj udlånsvækst på bekostning af kreditkvalitet</w:t>
      </w:r>
      <w:r>
        <w:t xml:space="preserve">, </w:t>
      </w:r>
      <w:r w:rsidRPr="004D324B">
        <w:rPr>
          <w:iCs/>
        </w:rPr>
        <w:t>for optimistiske vurd</w:t>
      </w:r>
      <w:r w:rsidRPr="006456A6">
        <w:rPr>
          <w:iCs/>
        </w:rPr>
        <w:t xml:space="preserve">eringer af kreditrisici (bl.a. </w:t>
      </w:r>
      <w:r>
        <w:rPr>
          <w:iCs/>
        </w:rPr>
        <w:t xml:space="preserve">i forhold til </w:t>
      </w:r>
      <w:r w:rsidRPr="006456A6">
        <w:rPr>
          <w:iCs/>
        </w:rPr>
        <w:t>ejendomseksponeringe</w:t>
      </w:r>
      <w:r>
        <w:rPr>
          <w:iCs/>
        </w:rPr>
        <w:t>n</w:t>
      </w:r>
      <w:r w:rsidRPr="006456A6">
        <w:rPr>
          <w:iCs/>
        </w:rPr>
        <w:t xml:space="preserve">) </w:t>
      </w:r>
      <w:r>
        <w:t xml:space="preserve">og </w:t>
      </w:r>
      <w:r w:rsidRPr="004D324B">
        <w:rPr>
          <w:iCs/>
        </w:rPr>
        <w:t>manglende st</w:t>
      </w:r>
      <w:r w:rsidRPr="006456A6">
        <w:rPr>
          <w:iCs/>
        </w:rPr>
        <w:t xml:space="preserve">yring af store </w:t>
      </w:r>
      <w:r w:rsidR="000454EA">
        <w:rPr>
          <w:iCs/>
        </w:rPr>
        <w:t>eksponeringer</w:t>
      </w:r>
      <w:r>
        <w:rPr>
          <w:iCs/>
        </w:rPr>
        <w:t>. Dette er et mønster, som også er set under tidligere kriser.</w:t>
      </w:r>
    </w:p>
    <w:p w14:paraId="46A50087" w14:textId="77777777" w:rsidR="00F62BA7" w:rsidRDefault="00F62BA7" w:rsidP="00F62BA7">
      <w:pPr>
        <w:rPr>
          <w:iCs/>
        </w:rPr>
      </w:pPr>
    </w:p>
    <w:p w14:paraId="43120539" w14:textId="77777777" w:rsidR="00F62BA7" w:rsidRDefault="00F62BA7" w:rsidP="00F62BA7">
      <w:r>
        <w:t xml:space="preserve">Finanstilsynet har derfor opstillet en række pejlemærker for, hvad der som udgangspunkt må anses som værende pengeinstitutvirksomhed med forhøjet risiko – den såkaldte </w:t>
      </w:r>
      <w:r w:rsidRPr="003B3787">
        <w:rPr>
          <w:i/>
        </w:rPr>
        <w:t>’tilsynsdiamant’</w:t>
      </w:r>
      <w:r>
        <w:t xml:space="preserve">. </w:t>
      </w:r>
    </w:p>
    <w:p w14:paraId="255F2ECE" w14:textId="77777777" w:rsidR="00F62BA7" w:rsidRDefault="00F62BA7" w:rsidP="00F62BA7"/>
    <w:p w14:paraId="4F93592B" w14:textId="52074AD1" w:rsidR="00F62BA7" w:rsidRDefault="00F62BA7" w:rsidP="00F62BA7">
      <w:r>
        <w:t>Tilsynsdiamanten fastlægger en række særlige risikoområder med angivne grænseværdier, som instituttet som udgangspunkt bør ligge inden for, jf. figuren nedenfor</w:t>
      </w:r>
      <w:r w:rsidRPr="00A650A3">
        <w:t>.</w:t>
      </w:r>
      <w:r w:rsidRPr="0021787E">
        <w:t xml:space="preserve"> </w:t>
      </w:r>
    </w:p>
    <w:p w14:paraId="708EDA17" w14:textId="77777777" w:rsidR="00170C8D" w:rsidRDefault="00170C8D" w:rsidP="003C1779">
      <w:pPr>
        <w:spacing w:line="240" w:lineRule="auto"/>
      </w:pPr>
    </w:p>
    <w:p w14:paraId="62D0B9A2" w14:textId="6F9362D4" w:rsidR="003414D8" w:rsidRPr="00361CDE" w:rsidRDefault="00170C8D" w:rsidP="003C1779">
      <w:pPr>
        <w:spacing w:line="240" w:lineRule="auto"/>
        <w:rPr>
          <w:b/>
          <w:bCs/>
        </w:rPr>
      </w:pPr>
      <w:r w:rsidRPr="00361CDE">
        <w:rPr>
          <w:b/>
          <w:bCs/>
        </w:rPr>
        <w:t>Tilsynsdiamanten for pengeinstitutter</w:t>
      </w:r>
      <w:r w:rsidR="001C1EA2">
        <w:rPr>
          <w:rStyle w:val="Fodnotehenvisning"/>
          <w:b/>
          <w:bCs/>
        </w:rPr>
        <w:footnoteReference w:id="1"/>
      </w:r>
    </w:p>
    <w:p w14:paraId="1837FF46" w14:textId="2D8B2C90" w:rsidR="00170C8D" w:rsidRDefault="00170C8D" w:rsidP="00F62BA7"/>
    <w:p w14:paraId="7C6E7515" w14:textId="44AC11E9" w:rsidR="00F62BA7" w:rsidRDefault="00F62BA7" w:rsidP="00F62BA7">
      <w:r w:rsidRPr="00A650A3">
        <w:lastRenderedPageBreak/>
        <w:t xml:space="preserve">Grænseværdierne er fastsat </w:t>
      </w:r>
      <w:r>
        <w:t xml:space="preserve">således, at de på den ene side skal modvirke overdreven </w:t>
      </w:r>
      <w:proofErr w:type="spellStart"/>
      <w:r>
        <w:t>risikopåtagning</w:t>
      </w:r>
      <w:proofErr w:type="spellEnd"/>
      <w:r>
        <w:t xml:space="preserve">, og på den anden side skal gøre det muligt for </w:t>
      </w:r>
      <w:r w:rsidRPr="00A650A3">
        <w:t xml:space="preserve">sunde pengeinstitutter </w:t>
      </w:r>
      <w:r>
        <w:t xml:space="preserve">at drive profitabel bankvirksomhed og yde den nødvendige kredit til virksomheder og husholdninger. </w:t>
      </w:r>
    </w:p>
    <w:p w14:paraId="348EA2C9" w14:textId="77777777" w:rsidR="00812F57" w:rsidRPr="00F62BA7" w:rsidRDefault="00812F57" w:rsidP="001850B3">
      <w:pPr>
        <w:rPr>
          <w:highlight w:val="yellow"/>
        </w:rPr>
      </w:pPr>
    </w:p>
    <w:p w14:paraId="5F07D21C" w14:textId="0D3DF0A4" w:rsidR="004C4893" w:rsidRDefault="001E4813" w:rsidP="001850B3">
      <w:r>
        <w:t xml:space="preserve">Vejledningens afsnit 2 opstiller beregningsmetoder indenfor tilsynsdiamantens </w:t>
      </w:r>
      <w:r w:rsidR="001D024D">
        <w:t xml:space="preserve">fire </w:t>
      </w:r>
      <w:r>
        <w:t>pejlemærker. Afsnit 3 indeholder oplysninger om Finanstilsynets tilsynsstige, og heri en beskrivelse af Finanstilsynets reaktionsmuligheder i forbindelse med overskridelser. Afsnit 4 dækker institutternes oplysningsforpligtelser.</w:t>
      </w:r>
    </w:p>
    <w:p w14:paraId="30788C07" w14:textId="0C2D1FE2" w:rsidR="009743D8" w:rsidRDefault="009743D8" w:rsidP="001850B3"/>
    <w:p w14:paraId="3A2CDD1F" w14:textId="51ED9C86" w:rsidR="009743D8" w:rsidRDefault="009743D8" w:rsidP="001850B3">
      <w:r>
        <w:t>Der gælder særlige regler for tilsynsdiamanten for færøske og grønlandske pengeinstitutter, jf. bilag 2.</w:t>
      </w:r>
    </w:p>
    <w:p w14:paraId="4A1454E3" w14:textId="77777777" w:rsidR="004C4893" w:rsidRDefault="004C4893" w:rsidP="001850B3"/>
    <w:p w14:paraId="090964B5" w14:textId="77777777" w:rsidR="00FE3F9E" w:rsidRDefault="00FE3F9E" w:rsidP="001850B3"/>
    <w:p w14:paraId="486917DF" w14:textId="77777777" w:rsidR="009904AC" w:rsidRDefault="00F62BA7" w:rsidP="00AA276D">
      <w:pPr>
        <w:pStyle w:val="Overskrift2"/>
        <w:numPr>
          <w:ilvl w:val="0"/>
          <w:numId w:val="21"/>
        </w:numPr>
      </w:pPr>
      <w:bookmarkStart w:id="13" w:name="_Toc343763688"/>
      <w:bookmarkStart w:id="14" w:name="_Toc141862534"/>
      <w:r>
        <w:t>Tilsynsdiamantens pejlemærke</w:t>
      </w:r>
      <w:r w:rsidR="009904AC">
        <w:t>r</w:t>
      </w:r>
      <w:bookmarkEnd w:id="13"/>
      <w:bookmarkEnd w:id="14"/>
      <w:r w:rsidR="009904AC">
        <w:t xml:space="preserve"> </w:t>
      </w:r>
    </w:p>
    <w:p w14:paraId="02C58E9F" w14:textId="77777777" w:rsidR="004C2243" w:rsidRDefault="004C2243" w:rsidP="009904AC"/>
    <w:p w14:paraId="6FFD1D9C" w14:textId="1C458C30" w:rsidR="003414D8" w:rsidRDefault="001E4813" w:rsidP="009904AC">
      <w:r>
        <w:t xml:space="preserve">De følgende afsnit 2.1-2.5 opstiller beregningsmetoder indenfor tilsynsdiamantens </w:t>
      </w:r>
      <w:r w:rsidR="001D024D">
        <w:t xml:space="preserve">fire </w:t>
      </w:r>
      <w:r>
        <w:t>pejlemærker.</w:t>
      </w:r>
    </w:p>
    <w:p w14:paraId="5C65DE30" w14:textId="77777777" w:rsidR="009904AC" w:rsidRPr="009904AC" w:rsidRDefault="009904AC" w:rsidP="009904AC"/>
    <w:p w14:paraId="4B09B339" w14:textId="77777777" w:rsidR="006A7342" w:rsidRPr="00887F5E" w:rsidRDefault="0078384B" w:rsidP="00887F5E">
      <w:pPr>
        <w:pStyle w:val="Overskrift2"/>
      </w:pPr>
      <w:bookmarkStart w:id="15" w:name="PCAStart"/>
      <w:bookmarkStart w:id="16" w:name="_Toc343763689"/>
      <w:bookmarkStart w:id="17" w:name="_Toc141862535"/>
      <w:bookmarkEnd w:id="15"/>
      <w:r w:rsidRPr="00AA276D">
        <w:t xml:space="preserve">2.1. </w:t>
      </w:r>
      <w:r w:rsidR="00F62BA7" w:rsidRPr="00AA276D">
        <w:t>Summen</w:t>
      </w:r>
      <w:r w:rsidR="00073C3E" w:rsidRPr="00AA276D">
        <w:t xml:space="preserve"> af store </w:t>
      </w:r>
      <w:r w:rsidR="000454EA">
        <w:t>eksponeringer</w:t>
      </w:r>
      <w:r w:rsidR="000454EA" w:rsidRPr="00AA276D">
        <w:t xml:space="preserve"> </w:t>
      </w:r>
      <w:r w:rsidR="00073C3E" w:rsidRPr="00AA276D">
        <w:t>under 1</w:t>
      </w:r>
      <w:r w:rsidR="00902F67">
        <w:t>7</w:t>
      </w:r>
      <w:r w:rsidR="00073C3E" w:rsidRPr="00AA276D">
        <w:t>5</w:t>
      </w:r>
      <w:r w:rsidR="00F62BA7" w:rsidRPr="00AA276D">
        <w:t xml:space="preserve"> pct.</w:t>
      </w:r>
      <w:bookmarkEnd w:id="16"/>
      <w:bookmarkEnd w:id="17"/>
    </w:p>
    <w:p w14:paraId="4E2D7F1A" w14:textId="77777777" w:rsidR="006A7342" w:rsidRPr="00AA276D" w:rsidRDefault="006A7342" w:rsidP="006A7342">
      <w:pPr>
        <w:rPr>
          <w:rFonts w:cs="Arial"/>
          <w:szCs w:val="21"/>
        </w:rPr>
      </w:pPr>
      <w:r w:rsidRPr="006A7342">
        <w:rPr>
          <w:rFonts w:eastAsia="Times New Roman"/>
          <w:szCs w:val="20"/>
          <w:lang w:eastAsia="da-DK"/>
        </w:rPr>
        <w:t>Tilsynsdiamantens grænseværdi for summen af instituttets 20 største eksponeringer er baseret på eksponeringsværdien, efter der er taget hensyn til virkningen af den kreditrisikoreduktion og de undtagelser mv., der følger af CRR, fjerde del, artikel 387-403</w:t>
      </w:r>
      <w:r>
        <w:rPr>
          <w:rStyle w:val="Fodnotehenvisning"/>
        </w:rPr>
        <w:footnoteReference w:id="2"/>
      </w:r>
      <w:r w:rsidR="009C3D10">
        <w:rPr>
          <w:rFonts w:eastAsia="Times New Roman"/>
          <w:szCs w:val="20"/>
          <w:lang w:eastAsia="da-DK"/>
        </w:rPr>
        <w:t>.</w:t>
      </w:r>
    </w:p>
    <w:p w14:paraId="4271E9C7" w14:textId="77777777" w:rsidR="006A7342" w:rsidRPr="006A7342" w:rsidRDefault="00411AA9"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Det betyder, at p</w:t>
      </w:r>
      <w:r w:rsidR="006A7342" w:rsidRPr="006A7342">
        <w:rPr>
          <w:rFonts w:eastAsia="Times New Roman"/>
          <w:szCs w:val="20"/>
          <w:lang w:eastAsia="da-DK"/>
        </w:rPr>
        <w:t xml:space="preserve">ejlemærket opgøres </w:t>
      </w:r>
      <w:r w:rsidR="00AE37E6">
        <w:rPr>
          <w:rFonts w:eastAsia="Times New Roman"/>
          <w:szCs w:val="20"/>
          <w:lang w:eastAsia="da-DK"/>
        </w:rPr>
        <w:t>med</w:t>
      </w:r>
      <w:r>
        <w:rPr>
          <w:rFonts w:eastAsia="Times New Roman"/>
          <w:szCs w:val="20"/>
          <w:lang w:eastAsia="da-DK"/>
        </w:rPr>
        <w:t xml:space="preserve"> </w:t>
      </w:r>
      <w:r w:rsidR="00577EB1">
        <w:rPr>
          <w:rFonts w:eastAsia="Times New Roman"/>
          <w:szCs w:val="20"/>
          <w:lang w:eastAsia="da-DK"/>
        </w:rPr>
        <w:t xml:space="preserve">adgang til </w:t>
      </w:r>
      <w:r>
        <w:rPr>
          <w:rFonts w:eastAsia="Times New Roman"/>
          <w:szCs w:val="20"/>
          <w:lang w:eastAsia="da-DK"/>
        </w:rPr>
        <w:t>fradrag for sikkerheder</w:t>
      </w:r>
      <w:r w:rsidR="00E36BE0">
        <w:rPr>
          <w:rFonts w:eastAsia="Times New Roman"/>
          <w:szCs w:val="20"/>
          <w:lang w:eastAsia="da-DK"/>
        </w:rPr>
        <w:t xml:space="preserve"> i form af </w:t>
      </w:r>
      <w:proofErr w:type="gramStart"/>
      <w:r w:rsidR="00E36BE0">
        <w:rPr>
          <w:rFonts w:eastAsia="Times New Roman"/>
          <w:szCs w:val="20"/>
          <w:lang w:eastAsia="da-DK"/>
        </w:rPr>
        <w:t>eksempelvis</w:t>
      </w:r>
      <w:proofErr w:type="gramEnd"/>
      <w:r w:rsidR="00E36BE0">
        <w:rPr>
          <w:rFonts w:eastAsia="Times New Roman"/>
          <w:szCs w:val="20"/>
          <w:lang w:eastAsia="da-DK"/>
        </w:rPr>
        <w:t xml:space="preserve"> </w:t>
      </w:r>
      <w:r w:rsidR="001971CB">
        <w:rPr>
          <w:rFonts w:eastAsia="Times New Roman"/>
          <w:szCs w:val="20"/>
          <w:lang w:eastAsia="da-DK"/>
        </w:rPr>
        <w:t>fast ejendom</w:t>
      </w:r>
      <w:r w:rsidR="00AE37E6">
        <w:rPr>
          <w:rFonts w:eastAsia="Times New Roman"/>
          <w:szCs w:val="20"/>
          <w:lang w:eastAsia="da-DK"/>
        </w:rPr>
        <w:t xml:space="preserve">, samt </w:t>
      </w:r>
      <w:r w:rsidR="00AE37E6" w:rsidRPr="006A7342">
        <w:rPr>
          <w:rFonts w:eastAsia="Times New Roman"/>
          <w:szCs w:val="20"/>
          <w:lang w:eastAsia="da-DK"/>
        </w:rPr>
        <w:t>efter nedskrivninger/hensættelser</w:t>
      </w:r>
      <w:r w:rsidR="006A7342" w:rsidRPr="006A7342">
        <w:rPr>
          <w:rFonts w:eastAsia="Times New Roman"/>
          <w:szCs w:val="20"/>
          <w:lang w:eastAsia="da-DK"/>
        </w:rPr>
        <w:t xml:space="preserve">. </w:t>
      </w:r>
      <w:proofErr w:type="gramStart"/>
      <w:r w:rsidR="006A7342" w:rsidRPr="006A7342">
        <w:rPr>
          <w:rFonts w:eastAsia="Times New Roman"/>
          <w:szCs w:val="20"/>
          <w:lang w:eastAsia="da-DK"/>
        </w:rPr>
        <w:t>Endvidere</w:t>
      </w:r>
      <w:proofErr w:type="gramEnd"/>
      <w:r w:rsidR="006A7342" w:rsidRPr="006A7342">
        <w:rPr>
          <w:rFonts w:eastAsia="Times New Roman"/>
          <w:szCs w:val="20"/>
          <w:lang w:eastAsia="da-DK"/>
        </w:rPr>
        <w:t xml:space="preserve"> sker følgende</w:t>
      </w:r>
      <w:r>
        <w:rPr>
          <w:rFonts w:eastAsia="Times New Roman"/>
          <w:szCs w:val="20"/>
          <w:lang w:eastAsia="da-DK"/>
        </w:rPr>
        <w:t xml:space="preserve"> nationale</w:t>
      </w:r>
      <w:r w:rsidR="006A7342" w:rsidRPr="006A7342">
        <w:rPr>
          <w:rFonts w:eastAsia="Times New Roman"/>
          <w:szCs w:val="20"/>
          <w:lang w:eastAsia="da-DK"/>
        </w:rPr>
        <w:t xml:space="preserve"> korrektioner i opgørelsen:</w:t>
      </w:r>
    </w:p>
    <w:p w14:paraId="27224F4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p>
    <w:p w14:paraId="6A477A41" w14:textId="77777777" w:rsid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under 3 mio.kr. efter der er taget hensyn til virkningen af kreditrisikoreduktion og undtagelser mv., udelades.</w:t>
      </w:r>
    </w:p>
    <w:p w14:paraId="532A034D" w14:textId="77777777" w:rsidR="00975CE5" w:rsidRPr="006A7342" w:rsidRDefault="00975CE5"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 xml:space="preserve">Eksponeringer mod </w:t>
      </w:r>
      <w:r w:rsidR="00A930C7">
        <w:rPr>
          <w:rFonts w:eastAsia="Times New Roman"/>
          <w:szCs w:val="20"/>
          <w:lang w:eastAsia="da-DK"/>
        </w:rPr>
        <w:t xml:space="preserve">fællesejede </w:t>
      </w:r>
      <w:r>
        <w:rPr>
          <w:rFonts w:eastAsia="Times New Roman"/>
          <w:szCs w:val="20"/>
          <w:lang w:eastAsia="da-DK"/>
        </w:rPr>
        <w:t>edb-centraler</w:t>
      </w:r>
      <w:r w:rsidR="00A930C7">
        <w:rPr>
          <w:rFonts w:eastAsia="Times New Roman"/>
          <w:szCs w:val="20"/>
          <w:lang w:eastAsia="da-DK"/>
        </w:rPr>
        <w:t>.</w:t>
      </w:r>
    </w:p>
    <w:p w14:paraId="0DCD8C33" w14:textId="77777777" w:rsidR="006A7342" w:rsidRP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mod kreditinstitutter under tilsyn af tilsynsmyndighed i EU</w:t>
      </w:r>
      <w:r w:rsidR="00046CCB">
        <w:rPr>
          <w:rFonts w:eastAsia="Times New Roman"/>
          <w:szCs w:val="20"/>
          <w:lang w:eastAsia="da-DK"/>
        </w:rPr>
        <w:t xml:space="preserve"> udelades</w:t>
      </w:r>
      <w:r w:rsidRPr="006A7342">
        <w:rPr>
          <w:rFonts w:eastAsia="Times New Roman"/>
          <w:szCs w:val="20"/>
          <w:lang w:eastAsia="da-DK"/>
        </w:rPr>
        <w:t>.</w:t>
      </w:r>
    </w:p>
    <w:p w14:paraId="2188313C"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rPr>
          <w:rFonts w:eastAsia="Times New Roman"/>
          <w:szCs w:val="20"/>
          <w:lang w:eastAsia="da-DK"/>
        </w:rPr>
      </w:pPr>
    </w:p>
    <w:p w14:paraId="00D580D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Summen opgøres i pct. af instituttets egentlige kernekapital (CET1). Tilsynsdiamantens grænseværdi for summen af de 20 største eksponeringer fastsættes til 175 pct. af instituttets egentlige kernekapital.</w:t>
      </w:r>
    </w:p>
    <w:p w14:paraId="19BBD0B5" w14:textId="77777777" w:rsidR="00397BF0" w:rsidRDefault="00397BF0" w:rsidP="006E10B8">
      <w:pPr>
        <w:pStyle w:val="Overskrift2"/>
      </w:pPr>
    </w:p>
    <w:p w14:paraId="5542701E" w14:textId="77777777" w:rsidR="00F62BA7" w:rsidRPr="00B03D34" w:rsidRDefault="0078384B" w:rsidP="006E10B8">
      <w:pPr>
        <w:pStyle w:val="Overskrift2"/>
      </w:pPr>
      <w:bookmarkStart w:id="18" w:name="_Toc343763690"/>
      <w:bookmarkStart w:id="19" w:name="_Toc141862536"/>
      <w:r>
        <w:t xml:space="preserve">2.2. </w:t>
      </w:r>
      <w:r w:rsidR="00F62BA7" w:rsidRPr="00B03D34">
        <w:t>Udlånsvækst under 20 pct.</w:t>
      </w:r>
      <w:bookmarkEnd w:id="18"/>
      <w:bookmarkEnd w:id="19"/>
      <w:r w:rsidR="00F62BA7" w:rsidRPr="00B03D34">
        <w:t xml:space="preserve"> </w:t>
      </w:r>
    </w:p>
    <w:p w14:paraId="70D4155C" w14:textId="77777777" w:rsidR="00F62BA7" w:rsidRDefault="00F62BA7" w:rsidP="00E0619A">
      <w:r>
        <w:t>Udlånsvæksten målt år-til-år</w:t>
      </w:r>
      <w:r w:rsidR="00677523">
        <w:t>.</w:t>
      </w:r>
      <w:r w:rsidR="00AA276D">
        <w:t xml:space="preserve"> </w:t>
      </w:r>
      <w:r w:rsidR="00397BF0">
        <w:t>Udlånet</w:t>
      </w:r>
      <w:r>
        <w:t xml:space="preserve"> opgøres </w:t>
      </w:r>
      <w:r w:rsidR="00A302CB">
        <w:t>eksklusiv</w:t>
      </w:r>
      <w:r w:rsidR="00677523">
        <w:t xml:space="preserve"> </w:t>
      </w:r>
      <w:proofErr w:type="spellStart"/>
      <w:r w:rsidR="00677523">
        <w:t>repo’er</w:t>
      </w:r>
      <w:proofErr w:type="spellEnd"/>
      <w:r w:rsidR="00677523">
        <w:t xml:space="preserve"> og efter nedskrivninger.</w:t>
      </w:r>
    </w:p>
    <w:p w14:paraId="13446682" w14:textId="77777777" w:rsidR="00344B70" w:rsidRDefault="00344B70" w:rsidP="00E0619A"/>
    <w:p w14:paraId="421D34E9" w14:textId="77777777" w:rsidR="00397BF0" w:rsidRDefault="00397BF0" w:rsidP="00E0619A">
      <w:r>
        <w:t>Der anvendes en grænse på under 20 pct. for udlånsvækst.</w:t>
      </w:r>
    </w:p>
    <w:p w14:paraId="7583A482" w14:textId="77777777" w:rsidR="00F62BA7" w:rsidRDefault="00F62BA7" w:rsidP="006E10B8">
      <w:pPr>
        <w:pStyle w:val="Overskrift3"/>
      </w:pPr>
    </w:p>
    <w:p w14:paraId="564B1592" w14:textId="77777777" w:rsidR="00F62BA7" w:rsidRPr="00F62BA7" w:rsidRDefault="0078384B" w:rsidP="006E10B8">
      <w:pPr>
        <w:pStyle w:val="Overskrift2"/>
        <w:rPr>
          <w:rFonts w:eastAsia="Calibri"/>
        </w:rPr>
      </w:pPr>
      <w:bookmarkStart w:id="20" w:name="_Toc343763691"/>
      <w:bookmarkStart w:id="21" w:name="_Toc141862537"/>
      <w:r>
        <w:rPr>
          <w:rFonts w:eastAsia="Calibri"/>
        </w:rPr>
        <w:t xml:space="preserve">2.3. </w:t>
      </w:r>
      <w:r w:rsidR="00F62BA7" w:rsidRPr="00F62BA7">
        <w:rPr>
          <w:rFonts w:eastAsia="Calibri"/>
        </w:rPr>
        <w:t>Ejendomseksponering under 25 pct.</w:t>
      </w:r>
      <w:bookmarkEnd w:id="20"/>
      <w:bookmarkEnd w:id="21"/>
    </w:p>
    <w:p w14:paraId="1987761B" w14:textId="7F94E00E" w:rsidR="009904AC" w:rsidRDefault="00E0619A" w:rsidP="009904AC">
      <w:r w:rsidRPr="00E0619A">
        <w:t xml:space="preserve">Ejendomseksponeringen </w:t>
      </w:r>
      <w:r w:rsidR="00073C3E">
        <w:t>er defineret som den andel af samlet udlån og garantidebitorer, der vedrører branche</w:t>
      </w:r>
      <w:r w:rsidR="002B20A1">
        <w:t>n</w:t>
      </w:r>
      <w:r w:rsidRPr="00E0619A">
        <w:t xml:space="preserve"> ’fast ejendom’</w:t>
      </w:r>
      <w:r w:rsidRPr="00E0619A">
        <w:rPr>
          <w:rStyle w:val="Fodnotehenvisning"/>
          <w:rFonts w:cs="Arial"/>
          <w:szCs w:val="21"/>
        </w:rPr>
        <w:footnoteReference w:id="3"/>
      </w:r>
      <w:r>
        <w:rPr>
          <w:rFonts w:cs="Arial"/>
          <w:szCs w:val="21"/>
        </w:rPr>
        <w:t>, der indberettes til</w:t>
      </w:r>
      <w:r w:rsidR="003414D8">
        <w:rPr>
          <w:rFonts w:cs="Arial"/>
          <w:szCs w:val="21"/>
        </w:rPr>
        <w:t xml:space="preserve"> Finanstilsynet</w:t>
      </w:r>
      <w:r>
        <w:rPr>
          <w:rFonts w:cs="Arial"/>
          <w:szCs w:val="21"/>
        </w:rPr>
        <w:t xml:space="preserve">. </w:t>
      </w:r>
    </w:p>
    <w:p w14:paraId="7CCAAB25" w14:textId="77777777" w:rsidR="009904AC" w:rsidRDefault="009904AC" w:rsidP="00F62BA7">
      <w:pPr>
        <w:rPr>
          <w:rFonts w:cs="Arial"/>
          <w:szCs w:val="21"/>
        </w:rPr>
      </w:pPr>
    </w:p>
    <w:p w14:paraId="06149345" w14:textId="77777777" w:rsidR="00E0619A" w:rsidRDefault="00E0619A" w:rsidP="00F62BA7">
      <w:r>
        <w:rPr>
          <w:rFonts w:cs="Arial"/>
          <w:szCs w:val="21"/>
        </w:rPr>
        <w:t>Grænseværdien er 25 pct. og opgøres før nedskrivninger.</w:t>
      </w:r>
    </w:p>
    <w:p w14:paraId="5E627609" w14:textId="77777777" w:rsidR="00F62BA7" w:rsidRDefault="00F62BA7" w:rsidP="00F62BA7"/>
    <w:p w14:paraId="0006F020" w14:textId="713B992C" w:rsidR="00F62BA7" w:rsidRPr="00B03D34" w:rsidRDefault="0078384B" w:rsidP="006E10B8">
      <w:pPr>
        <w:pStyle w:val="Overskrift2"/>
      </w:pPr>
      <w:bookmarkStart w:id="22" w:name="_Toc343763693"/>
      <w:bookmarkStart w:id="23" w:name="_Toc141862538"/>
      <w:r>
        <w:t>2.</w:t>
      </w:r>
      <w:r w:rsidR="009743D8">
        <w:t>4</w:t>
      </w:r>
      <w:r>
        <w:t xml:space="preserve">. </w:t>
      </w:r>
      <w:r w:rsidR="00F62BA7" w:rsidRPr="00B03D34">
        <w:t>Likviditets</w:t>
      </w:r>
      <w:r w:rsidR="004E06FF">
        <w:t>pejlemærke</w:t>
      </w:r>
      <w:r w:rsidR="00F62BA7" w:rsidRPr="00B03D34">
        <w:t xml:space="preserve"> skal være større end </w:t>
      </w:r>
      <w:r w:rsidR="004E06FF">
        <w:t xml:space="preserve">100 </w:t>
      </w:r>
      <w:r w:rsidR="00F62BA7" w:rsidRPr="00B03D34">
        <w:t>pct.</w:t>
      </w:r>
      <w:bookmarkEnd w:id="22"/>
      <w:bookmarkEnd w:id="23"/>
    </w:p>
    <w:p w14:paraId="4C6A9F88" w14:textId="4523897F" w:rsidR="004E06FF" w:rsidRDefault="004E06FF" w:rsidP="004E06FF">
      <w:r>
        <w:t xml:space="preserve">Likviditetspejlemærket angiver pengeinstitutternes evne til at klare et tre måneders likviditetsstress. </w:t>
      </w:r>
      <w:r w:rsidRPr="00943360">
        <w:t xml:space="preserve"> </w:t>
      </w:r>
      <w:r>
        <w:t xml:space="preserve">Likviditetspejlemærket skal </w:t>
      </w:r>
      <w:r w:rsidRPr="00586BD1">
        <w:t>sikre</w:t>
      </w:r>
      <w:r w:rsidR="00CA5F87">
        <w:t>, at institutter i tide reagerer på potentielle udford</w:t>
      </w:r>
      <w:r w:rsidR="00CB50A5">
        <w:t>r</w:t>
      </w:r>
      <w:r w:rsidR="00CA5F87">
        <w:t xml:space="preserve">inger med overholdelse af </w:t>
      </w:r>
      <w:r w:rsidR="00F1200B">
        <w:t xml:space="preserve">det </w:t>
      </w:r>
      <w:r w:rsidR="00F1200B" w:rsidRPr="00586BD1">
        <w:t>lovmæssige</w:t>
      </w:r>
      <w:r w:rsidRPr="00586BD1">
        <w:t xml:space="preserve"> LCR-krav; jo større likviditetsrisici</w:t>
      </w:r>
      <w:r>
        <w:t xml:space="preserve"> et </w:t>
      </w:r>
      <w:r w:rsidRPr="00586BD1">
        <w:t>institut har, jo større overdækning i forhold til det lovmæssige LCR-krav</w:t>
      </w:r>
      <w:r w:rsidR="00C671B6">
        <w:rPr>
          <w:rStyle w:val="Fodnotehenvisning"/>
        </w:rPr>
        <w:footnoteReference w:id="4"/>
      </w:r>
      <w:r w:rsidRPr="00586BD1">
        <w:t xml:space="preserve"> bør det have</w:t>
      </w:r>
      <w:r>
        <w:t>.</w:t>
      </w:r>
    </w:p>
    <w:p w14:paraId="317714BA" w14:textId="77777777" w:rsidR="004E06FF" w:rsidRDefault="004E06FF" w:rsidP="004E06FF"/>
    <w:p w14:paraId="4062E1C3" w14:textId="77777777" w:rsidR="004E06FF" w:rsidRDefault="004E06FF" w:rsidP="004E06FF">
      <w:r>
        <w:t xml:space="preserve">Likviditetspejlemærket er baseret på en fremskrevet version af LCR-kravet, hvor der anvendes en lempeligere opgørelse af tælleren og en delvis fremskrivning af både de ind- og udgående pengestrømme i nævneren. Alle indgående pengestrømme regnes med fuldt ud og er dermed ikke underlagt 75 pct. </w:t>
      </w:r>
      <w:proofErr w:type="spellStart"/>
      <w:r>
        <w:t>cap’en</w:t>
      </w:r>
      <w:proofErr w:type="spellEnd"/>
      <w:r>
        <w:t xml:space="preserve"> som i LCR-opgørelsen. Den præcise opgørelsesmetode er beskrevet i bilag 1. </w:t>
      </w:r>
    </w:p>
    <w:p w14:paraId="2C7BC68A" w14:textId="77777777" w:rsidR="004E06FF" w:rsidRDefault="004E06FF" w:rsidP="004E06FF"/>
    <w:p w14:paraId="237C67AA" w14:textId="76A586CA" w:rsidR="004E06FF" w:rsidRPr="00EA2B67" w:rsidRDefault="004E06FF" w:rsidP="004E06FF">
      <w:r>
        <w:t xml:space="preserve">Likviditetspejlemærket er på tidshorisont </w:t>
      </w:r>
      <m:oMath>
        <m:r>
          <w:rPr>
            <w:rFonts w:ascii="Cambria Math" w:hAnsi="Cambria Math"/>
          </w:rPr>
          <m:t>x ∈X</m:t>
        </m:r>
        <m:d>
          <m:dPr>
            <m:ctrlPr>
              <w:rPr>
                <w:rFonts w:ascii="Cambria Math" w:hAnsi="Cambria Math"/>
                <w:i/>
              </w:rPr>
            </m:ctrlPr>
          </m:dPr>
          <m:e>
            <m:r>
              <w:rPr>
                <w:rFonts w:ascii="Cambria Math" w:hAnsi="Cambria Math"/>
              </w:rPr>
              <m:t>1,2,3</m:t>
            </m:r>
          </m:e>
        </m:d>
      </m:oMath>
      <w:r>
        <w:t xml:space="preserve"> defineret som:</w:t>
      </w:r>
    </w:p>
    <w:p w14:paraId="76A19BD4" w14:textId="77777777" w:rsidR="004E06FF" w:rsidRDefault="004E06FF" w:rsidP="004E06FF">
      <w:pPr>
        <w:pStyle w:val="Brdtekst"/>
        <w:rPr>
          <w:rFonts w:ascii="Constantia" w:hAnsi="Constantia"/>
          <w:sz w:val="22"/>
        </w:rPr>
      </w:pPr>
    </w:p>
    <w:p w14:paraId="30E40143" w14:textId="77777777" w:rsidR="004E06FF" w:rsidRPr="00512023" w:rsidRDefault="00000000"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36113AE3"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4E0CDE3F" w14:textId="77777777" w:rsidR="004E06FF" w:rsidRPr="00EB63A0" w:rsidRDefault="00000000"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5EB6F12C" w14:textId="77777777" w:rsidR="004E06FF" w:rsidRDefault="004E06FF" w:rsidP="004E06FF"/>
    <w:p w14:paraId="159D5C43" w14:textId="30D0959A" w:rsidR="004E06FF" w:rsidRDefault="004E06FF" w:rsidP="004E06FF">
      <w:r>
        <w:t>, hvor t=1 svarer til de 30 dage LCR dækker, t=2 er to måneder og t=3 er tre måneder.</w:t>
      </w:r>
    </w:p>
    <w:p w14:paraId="50E92073" w14:textId="17098DC4" w:rsidR="00B330F7" w:rsidRDefault="004E06FF" w:rsidP="004E06FF">
      <w:r>
        <w:t xml:space="preserve">Likviditetspejlemærket opgøres således som resultatet af ovenstående brøk ved dets laveste niveau for </w:t>
      </w:r>
      <w:r w:rsidRPr="00BA58C5">
        <w:rPr>
          <w:i/>
        </w:rPr>
        <w:t>x</w:t>
      </w:r>
      <w:r>
        <w:t xml:space="preserve"> på mellem 30 dage og tre måneder. Likviditetspejlemærket er altså lig den laveste månedlige værdi inden</w:t>
      </w:r>
      <w:r w:rsidR="00CB50A5">
        <w:t xml:space="preserve"> </w:t>
      </w:r>
      <w:r>
        <w:t xml:space="preserve">for de kommende tre måneder fra opgørelsen. Tilsynsdiamantens grænseværdi for likviditetspejlemærket er 100 pct. </w:t>
      </w:r>
    </w:p>
    <w:p w14:paraId="2F9BDD46" w14:textId="77777777" w:rsidR="00133133" w:rsidRDefault="00133133" w:rsidP="004E06FF"/>
    <w:p w14:paraId="6567B7D7" w14:textId="77777777" w:rsidR="007327B9" w:rsidRDefault="007327B9" w:rsidP="007327B9">
      <w:pPr>
        <w:pStyle w:val="Overskrift3"/>
      </w:pPr>
      <w:bookmarkStart w:id="24" w:name="_Toc141862539"/>
      <w:r>
        <w:t>Specialtilfælde hvor udgående pengestrømme er mindre end eller lig med indgående pengestrømme</w:t>
      </w:r>
      <w:bookmarkEnd w:id="24"/>
    </w:p>
    <w:p w14:paraId="5704A166" w14:textId="77777777" w:rsidR="007327B9" w:rsidRDefault="007327B9" w:rsidP="007327B9">
      <w:r>
        <w:t xml:space="preserve">Eftersom alle indgående pengestrømme, i modsætning til i LCR kravet, kan medregnes fuldt ud i likviditetspejlemærket kan der opstå en situation, hvor nævneren bliver negativ eller nul for de enkelte tidspunkter t=1,2,3. I tilfælde, hvor alle tre perioder har negativ </w:t>
      </w:r>
      <w:proofErr w:type="gramStart"/>
      <w:r>
        <w:t>nævner</w:t>
      </w:r>
      <w:proofErr w:type="gramEnd"/>
      <w:r>
        <w:t xml:space="preserve"> anvendes LCR kravet som nævner i stedet.</w:t>
      </w:r>
    </w:p>
    <w:p w14:paraId="67B0AE47" w14:textId="77777777" w:rsidR="007327B9" w:rsidRDefault="007327B9" w:rsidP="007327B9"/>
    <w:p w14:paraId="001ACD09" w14:textId="77777777" w:rsidR="007327B9" w:rsidRDefault="007327B9" w:rsidP="007327B9">
      <w:r>
        <w:t xml:space="preserve">Specialtilfældet sker når: </w:t>
      </w:r>
    </w:p>
    <w:p w14:paraId="1F3893AF" w14:textId="77777777" w:rsidR="007327B9" w:rsidRDefault="007327B9" w:rsidP="007327B9"/>
    <w:p w14:paraId="58866A01" w14:textId="77777777" w:rsidR="007327B9" w:rsidRDefault="00000000" w:rsidP="007327B9">
      <w:pPr>
        <w:jc w:val="center"/>
      </w:pPr>
      <m:oMath>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r>
              <w:rPr>
                <w:rFonts w:ascii="Cambria Math" w:hAnsi="Cambria Math"/>
              </w:rPr>
              <m:t>Ny udgående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-Ny indgående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&lt;0,   for ∀  x∈X</m:t>
            </m:r>
          </m:e>
        </m:nary>
      </m:oMath>
      <w:r w:rsidR="007327B9">
        <w:t>,</w:t>
      </w:r>
    </w:p>
    <w:p w14:paraId="6450F20C" w14:textId="4A7D8BAA" w:rsidR="004E64D9" w:rsidRDefault="004E64D9" w:rsidP="004C5629"/>
    <w:p w14:paraId="1A8EB8C4" w14:textId="77777777" w:rsidR="0078384B" w:rsidRDefault="0078384B" w:rsidP="00F62BA7">
      <w:pPr>
        <w:spacing w:line="240" w:lineRule="auto"/>
      </w:pPr>
    </w:p>
    <w:p w14:paraId="7052FAA3" w14:textId="77777777" w:rsidR="00F62BA7" w:rsidRDefault="00F62BA7" w:rsidP="00AA276D">
      <w:pPr>
        <w:pStyle w:val="Overskrift2"/>
        <w:numPr>
          <w:ilvl w:val="0"/>
          <w:numId w:val="21"/>
        </w:numPr>
      </w:pPr>
      <w:bookmarkStart w:id="25" w:name="_Toc343763694"/>
      <w:bookmarkStart w:id="26" w:name="_Toc141862540"/>
      <w:r>
        <w:lastRenderedPageBreak/>
        <w:t>Tilsynsstigen</w:t>
      </w:r>
      <w:bookmarkEnd w:id="25"/>
      <w:bookmarkEnd w:id="26"/>
    </w:p>
    <w:p w14:paraId="3A662B56" w14:textId="77777777" w:rsidR="004C2243" w:rsidRDefault="004C2243" w:rsidP="00B330F7"/>
    <w:p w14:paraId="7C996046" w14:textId="567602A2" w:rsidR="00F62BA7" w:rsidRDefault="00F62BA7" w:rsidP="00B330F7">
      <w:r>
        <w:t>Når tilsynsdiamantens grænseværdier overskrides, vil Finanstilsynet påbegynde en dialog med instituttet herom og foretage evt. tilsynsreaktioner, jf. tilsynsstigen. Tilsynsstigen er illustreret nedenfor. Reaktionsmulighederne er opsat efter hvor indgribende, de er. Finanstilsynet vil ud fra en proportionalitetsvurdering benytte den mindst indgribende reaktion. Tilsynet vil således alene anvende reaktionerne på de højere trin i mere alvorlige situationer, f</w:t>
      </w:r>
      <w:r w:rsidR="004E06FF">
        <w:t>.eks.</w:t>
      </w:r>
      <w:r>
        <w:t xml:space="preserve"> ved gentagne overskridelser og ved manglende reaktion fra instituttets side. </w:t>
      </w:r>
    </w:p>
    <w:p w14:paraId="230F5C10" w14:textId="77777777" w:rsidR="004E06FF" w:rsidRDefault="004E06FF" w:rsidP="00B330F7"/>
    <w:p w14:paraId="1F4B8464" w14:textId="7D570982" w:rsidR="004E06FF" w:rsidRDefault="004E06FF" w:rsidP="00B330F7">
      <w:r>
        <w:t>Et brud på tilsynsdiamanten</w:t>
      </w:r>
      <w:r w:rsidR="0084651F">
        <w:t xml:space="preserve"> vil ikke nødvendigvis medføre en tilsynsreaktion. F.eks</w:t>
      </w:r>
      <w:r w:rsidR="00583962">
        <w:t>.</w:t>
      </w:r>
      <w:r w:rsidR="0084651F">
        <w:t xml:space="preserve"> vil et brud på likviditetspejlemærket</w:t>
      </w:r>
      <w:r>
        <w:t xml:space="preserve">, der alene følger af et generelt og uventet stød til markederne, ikke føre til tilsynsreaktioner og dermed heller ikke til umiddelbar offentliggørelse. En kortsigtet overskridelse, som skyldes en teknikalitet, og som instituttet hurtigt får rettet op på, vil som udgangspunkt heller ikke give en tilsynsmæssig reaktion.  </w:t>
      </w:r>
    </w:p>
    <w:p w14:paraId="2F22BB1C" w14:textId="77777777" w:rsidR="00B330F7" w:rsidRDefault="00A963C8" w:rsidP="00B330F7">
      <w:r w:rsidRPr="00A963C8">
        <w:rPr>
          <w:noProof/>
          <w:lang w:eastAsia="da-DK"/>
        </w:rPr>
        <w:drawing>
          <wp:anchor distT="0" distB="0" distL="114300" distR="114300" simplePos="0" relativeHeight="251680768" behindDoc="0" locked="0" layoutInCell="1" allowOverlap="1" wp14:anchorId="0BB8476A" wp14:editId="3798749E">
            <wp:simplePos x="0" y="0"/>
            <wp:positionH relativeFrom="column">
              <wp:posOffset>-413385</wp:posOffset>
            </wp:positionH>
            <wp:positionV relativeFrom="paragraph">
              <wp:posOffset>208915</wp:posOffset>
            </wp:positionV>
            <wp:extent cx="5866765" cy="2952115"/>
            <wp:effectExtent l="0" t="0" r="57785" b="9588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270DF49" w14:textId="77777777" w:rsidR="00F62BA7" w:rsidRDefault="00F62BA7" w:rsidP="00F62BA7">
      <w:pPr>
        <w:pStyle w:val="Brdtekst"/>
        <w:rPr>
          <w:i/>
        </w:rPr>
      </w:pPr>
    </w:p>
    <w:p w14:paraId="1F32E39D" w14:textId="77777777" w:rsidR="00F62BA7" w:rsidRDefault="00B70CA0" w:rsidP="00F62BA7">
      <w:pPr>
        <w:pStyle w:val="Brdtekst"/>
        <w:rPr>
          <w:i/>
        </w:rPr>
      </w:pPr>
      <w:r>
        <w:rPr>
          <w:noProof/>
        </w:rPr>
        <mc:AlternateContent>
          <mc:Choice Requires="wps">
            <w:drawing>
              <wp:anchor distT="0" distB="0" distL="114300" distR="114300" simplePos="0" relativeHeight="251671552" behindDoc="0" locked="0" layoutInCell="1" allowOverlap="1" wp14:anchorId="6EBE9355" wp14:editId="20271E17">
                <wp:simplePos x="0" y="0"/>
                <wp:positionH relativeFrom="column">
                  <wp:posOffset>-6985</wp:posOffset>
                </wp:positionH>
                <wp:positionV relativeFrom="paragraph">
                  <wp:posOffset>34925</wp:posOffset>
                </wp:positionV>
                <wp:extent cx="5086350" cy="409575"/>
                <wp:effectExtent l="6350" t="6350" r="31750" b="317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095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E9355" id="AutoShape 16" o:spid="_x0000_s1029" style="position:absolute;left:0;text-align:left;margin-left:-.55pt;margin-top:2.75pt;width:400.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">
                <v:shadow on="t"/>
                <v:textbo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v:textbox>
              </v:roundrect>
            </w:pict>
          </mc:Fallback>
        </mc:AlternateContent>
      </w:r>
    </w:p>
    <w:p w14:paraId="7E52CDAE" w14:textId="77777777" w:rsidR="00F62BA7" w:rsidRDefault="00F62BA7" w:rsidP="00F62BA7">
      <w:pPr>
        <w:pStyle w:val="Brdtekst"/>
        <w:tabs>
          <w:tab w:val="left" w:pos="284"/>
          <w:tab w:val="left" w:pos="567"/>
          <w:tab w:val="left" w:pos="709"/>
        </w:tabs>
      </w:pPr>
    </w:p>
    <w:p w14:paraId="49A98FA3" w14:textId="77777777" w:rsidR="00F62BA7" w:rsidRDefault="00F62BA7" w:rsidP="00F62BA7">
      <w:pPr>
        <w:pStyle w:val="Brdtekst"/>
        <w:tabs>
          <w:tab w:val="left" w:pos="284"/>
          <w:tab w:val="left" w:pos="567"/>
          <w:tab w:val="left" w:pos="709"/>
        </w:tabs>
      </w:pPr>
    </w:p>
    <w:p w14:paraId="08F82AC6" w14:textId="77777777" w:rsidR="00F62BA7" w:rsidRDefault="00B70CA0" w:rsidP="00F62BA7">
      <w:pPr>
        <w:pStyle w:val="Brdtekst"/>
        <w:tabs>
          <w:tab w:val="left" w:pos="284"/>
          <w:tab w:val="left" w:pos="567"/>
          <w:tab w:val="left" w:pos="709"/>
        </w:tabs>
      </w:pPr>
      <w:r>
        <w:rPr>
          <w:noProof/>
        </w:rPr>
        <mc:AlternateContent>
          <mc:Choice Requires="wps">
            <w:drawing>
              <wp:anchor distT="0" distB="0" distL="114300" distR="114300" simplePos="0" relativeHeight="251670528" behindDoc="0" locked="0" layoutInCell="1" allowOverlap="1" wp14:anchorId="17BA15B9" wp14:editId="58E02AFB">
                <wp:simplePos x="0" y="0"/>
                <wp:positionH relativeFrom="column">
                  <wp:posOffset>-6985</wp:posOffset>
                </wp:positionH>
                <wp:positionV relativeFrom="paragraph">
                  <wp:posOffset>136525</wp:posOffset>
                </wp:positionV>
                <wp:extent cx="5086350" cy="425450"/>
                <wp:effectExtent l="6350" t="12700" r="31750"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254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A15B9" id="AutoShape 15" o:spid="_x0000_s1030" style="position:absolute;left:0;text-align:left;margin-left:-.55pt;margin-top:10.75pt;width:400.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">
                <v:shadow on="t"/>
                <v:textbo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v:textbox>
              </v:roundrect>
            </w:pict>
          </mc:Fallback>
        </mc:AlternateContent>
      </w:r>
    </w:p>
    <w:p w14:paraId="338D9724" w14:textId="77777777" w:rsidR="00F62BA7" w:rsidRDefault="00F62BA7" w:rsidP="00F62BA7">
      <w:pPr>
        <w:pStyle w:val="Brdtekst"/>
        <w:tabs>
          <w:tab w:val="left" w:pos="284"/>
          <w:tab w:val="left" w:pos="567"/>
          <w:tab w:val="left" w:pos="709"/>
        </w:tabs>
      </w:pPr>
    </w:p>
    <w:p w14:paraId="59EC162B" w14:textId="77777777" w:rsidR="00F62BA7" w:rsidRDefault="00F62BA7" w:rsidP="00F62BA7">
      <w:pPr>
        <w:pStyle w:val="Brdtekst"/>
        <w:tabs>
          <w:tab w:val="left" w:pos="284"/>
          <w:tab w:val="left" w:pos="567"/>
          <w:tab w:val="left" w:pos="709"/>
        </w:tabs>
      </w:pPr>
    </w:p>
    <w:p w14:paraId="511B6482" w14:textId="77777777" w:rsidR="00F62BA7" w:rsidRDefault="00F62BA7" w:rsidP="00F62BA7">
      <w:pPr>
        <w:pStyle w:val="Brdtekst"/>
        <w:tabs>
          <w:tab w:val="left" w:pos="284"/>
          <w:tab w:val="left" w:pos="567"/>
          <w:tab w:val="left" w:pos="709"/>
        </w:tabs>
      </w:pPr>
    </w:p>
    <w:p w14:paraId="22EBB6DB" w14:textId="77777777" w:rsidR="0089706E" w:rsidRDefault="0089706E" w:rsidP="00F62BA7">
      <w:pPr>
        <w:pStyle w:val="Brdtekst"/>
        <w:tabs>
          <w:tab w:val="left" w:pos="284"/>
          <w:tab w:val="left" w:pos="567"/>
          <w:tab w:val="left" w:pos="709"/>
        </w:tabs>
      </w:pPr>
    </w:p>
    <w:p w14:paraId="47D2AB0D" w14:textId="77777777" w:rsidR="0089706E" w:rsidRDefault="0089706E" w:rsidP="0089706E">
      <w:pPr>
        <w:pStyle w:val="Overskrift2"/>
      </w:pPr>
      <w:bookmarkStart w:id="27" w:name="_Toc343763695"/>
      <w:bookmarkStart w:id="28" w:name="_Toc141862541"/>
      <w:r>
        <w:t>3.1. Reaktionsmuligheder</w:t>
      </w:r>
      <w:bookmarkEnd w:id="27"/>
      <w:bookmarkEnd w:id="28"/>
    </w:p>
    <w:p w14:paraId="77F8F41A" w14:textId="77777777" w:rsidR="00F62BA7" w:rsidRPr="00283C66" w:rsidRDefault="00F62BA7" w:rsidP="0089706E">
      <w:r>
        <w:t>I det følgende gennemgås de reaktionsmuligheder, som tilsynet kan anvende ved en overskridelse af tilsynsdiamantens indhegning. Alle reaktioner baseres på en individuel og konkret vurdering.</w:t>
      </w:r>
    </w:p>
    <w:p w14:paraId="24B9763E" w14:textId="77777777" w:rsidR="00F62BA7" w:rsidRDefault="00F62BA7" w:rsidP="00F62BA7">
      <w:pPr>
        <w:pStyle w:val="Brdtekst"/>
        <w:rPr>
          <w:i/>
        </w:rPr>
      </w:pPr>
    </w:p>
    <w:p w14:paraId="79F9F878" w14:textId="77777777" w:rsidR="00F62BA7" w:rsidRPr="00876761" w:rsidRDefault="00AA276D" w:rsidP="00876761">
      <w:pPr>
        <w:pStyle w:val="Overskrift2"/>
        <w:rPr>
          <w:b w:val="0"/>
          <w:i/>
        </w:rPr>
      </w:pPr>
      <w:bookmarkStart w:id="29" w:name="_Toc343763696"/>
      <w:bookmarkStart w:id="30" w:name="_Toc141862542"/>
      <w:r w:rsidRPr="00876761">
        <w:rPr>
          <w:b w:val="0"/>
          <w:i/>
        </w:rPr>
        <w:lastRenderedPageBreak/>
        <w:t xml:space="preserve">3.1.1 </w:t>
      </w:r>
      <w:r w:rsidR="00F62BA7" w:rsidRPr="00876761">
        <w:rPr>
          <w:b w:val="0"/>
          <w:i/>
        </w:rPr>
        <w:t>Skærpet overvågning</w:t>
      </w:r>
      <w:bookmarkEnd w:id="29"/>
      <w:bookmarkEnd w:id="30"/>
    </w:p>
    <w:p w14:paraId="05BE0C88" w14:textId="77777777" w:rsidR="00F62BA7" w:rsidRDefault="006E10B8" w:rsidP="0089706E">
      <w:r>
        <w:t>Finanstilsynet har</w:t>
      </w:r>
      <w:r w:rsidR="00F62BA7">
        <w:t xml:space="preserve"> med </w:t>
      </w:r>
      <w:r>
        <w:t>virkning fra ultimo 2012 indført</w:t>
      </w:r>
      <w:r w:rsidR="00F62BA7">
        <w:t xml:space="preserve"> skærpet overvågning med de institutter, som overskrider en grænseværdi i tilsynsdiamanten. </w:t>
      </w:r>
    </w:p>
    <w:p w14:paraId="66F37779" w14:textId="77777777" w:rsidR="00F62BA7" w:rsidRDefault="00F62BA7" w:rsidP="0089706E"/>
    <w:p w14:paraId="253B5465" w14:textId="77777777" w:rsidR="00F62BA7" w:rsidRDefault="006E10B8" w:rsidP="0089706E">
      <w:r>
        <w:t>Skærpet overvågning medfører</w:t>
      </w:r>
      <w:r w:rsidR="00F62BA7">
        <w:t>, at Finanstilsynet kan forlange hyppigere indrapportering på de efter tilsynsdiamanten overskredne grænseværdier. Et institut på skærpet overvågning kan også forvente løbende dialog med Finanstilsynet om, hvordan instituttet forholder sig til overskridelsen af grænseværdierne i tilsynsdiamanten.</w:t>
      </w:r>
    </w:p>
    <w:p w14:paraId="70216EB2" w14:textId="77777777" w:rsidR="00F62BA7" w:rsidRDefault="00F62BA7" w:rsidP="0089706E"/>
    <w:p w14:paraId="4DA091DB" w14:textId="77777777" w:rsidR="00F62BA7" w:rsidRDefault="00F62BA7" w:rsidP="0089706E">
      <w:r>
        <w:t xml:space="preserve">Det er vigtigt at sondre mellem skærpet </w:t>
      </w:r>
      <w:r w:rsidRPr="00916CE0">
        <w:rPr>
          <w:i/>
        </w:rPr>
        <w:t>overvågning</w:t>
      </w:r>
      <w:r>
        <w:t xml:space="preserve"> og skærpet </w:t>
      </w:r>
      <w:r w:rsidRPr="00916CE0">
        <w:rPr>
          <w:i/>
        </w:rPr>
        <w:t>tilsyn</w:t>
      </w:r>
      <w:r>
        <w:t>. Skærpet tilsyn medfører ofte, at instituttet er underlagt en ekstra tilsynsaktivitet - typisk en undersøgelse i instituttet - mens den skærpede overvågning er baseret på indrapportering fra instituttet og dialogen herom.</w:t>
      </w:r>
      <w:r w:rsidDel="00CE6A4B">
        <w:t xml:space="preserve"> </w:t>
      </w:r>
    </w:p>
    <w:p w14:paraId="24086DAE" w14:textId="77777777" w:rsidR="00F62BA7" w:rsidRDefault="00F62BA7" w:rsidP="0089706E"/>
    <w:p w14:paraId="72646DFF" w14:textId="77777777" w:rsidR="00F62BA7" w:rsidRDefault="00F62BA7" w:rsidP="00B330F7">
      <w:r>
        <w:t>Finanstilsynet vil kunne sætte et institut under skærpet tilsyn ved overskridelse af tilsynsdiamantens grænseværdier</w:t>
      </w:r>
      <w:r w:rsidR="00981BFE">
        <w:t>,</w:t>
      </w:r>
      <w:r>
        <w:t xml:space="preserve"> men </w:t>
      </w:r>
      <w:r w:rsidR="00397BF0">
        <w:t xml:space="preserve">det vil </w:t>
      </w:r>
      <w:r>
        <w:t>ikke nødvendigvis</w:t>
      </w:r>
      <w:r w:rsidR="00397BF0">
        <w:t xml:space="preserve"> være tilfældet</w:t>
      </w:r>
      <w:r>
        <w:t xml:space="preserve">. </w:t>
      </w:r>
    </w:p>
    <w:p w14:paraId="11DCBBE9" w14:textId="77777777" w:rsidR="00B330F7" w:rsidRPr="00D773DE" w:rsidRDefault="00B330F7" w:rsidP="00B330F7"/>
    <w:p w14:paraId="5C219F40" w14:textId="77777777" w:rsidR="00F62BA7" w:rsidRPr="00876761" w:rsidRDefault="00876761" w:rsidP="00876761">
      <w:pPr>
        <w:pStyle w:val="Overskrift2"/>
        <w:rPr>
          <w:b w:val="0"/>
          <w:i/>
        </w:rPr>
      </w:pPr>
      <w:bookmarkStart w:id="31" w:name="_Toc343763697"/>
      <w:bookmarkStart w:id="32" w:name="_Toc141862543"/>
      <w:r>
        <w:rPr>
          <w:b w:val="0"/>
          <w:i/>
        </w:rPr>
        <w:t xml:space="preserve">3.1.2 </w:t>
      </w:r>
      <w:r w:rsidR="00F62BA7" w:rsidRPr="00876761">
        <w:rPr>
          <w:b w:val="0"/>
          <w:i/>
        </w:rPr>
        <w:t>Risikooplysninger og samtidig offentliggørelse af disse</w:t>
      </w:r>
      <w:bookmarkEnd w:id="31"/>
      <w:bookmarkEnd w:id="32"/>
    </w:p>
    <w:p w14:paraId="10E750A4" w14:textId="2A4C6BF4" w:rsidR="00940BF5" w:rsidRDefault="00F62BA7" w:rsidP="0089706E">
      <w:r>
        <w:t>Finanstilsynet vil foretage en individuel og konkret vurdering af, hvorvidt der skal gives en risikooplysning i de situationer, hvor instituttet overskrider tilsynsdiamantens grænseværdier. Finanstilsynet vil foretage sin vurdering under h</w:t>
      </w:r>
      <w:r w:rsidR="00940BF5">
        <w:t>ensyntagen til f</w:t>
      </w:r>
      <w:r w:rsidR="004E06FF">
        <w:t>.eks.</w:t>
      </w:r>
      <w:r>
        <w:t xml:space="preserve"> fusion, opkøb, koncernmæssige forhold samt andre forhold</w:t>
      </w:r>
      <w:r w:rsidR="00940BF5">
        <w:t xml:space="preserve"> der har betydning for risikobilledet.</w:t>
      </w:r>
    </w:p>
    <w:p w14:paraId="150D56C2" w14:textId="77777777" w:rsidR="00F62BA7" w:rsidRDefault="00940BF5" w:rsidP="0089706E">
      <w:r>
        <w:t xml:space="preserve"> </w:t>
      </w:r>
    </w:p>
    <w:p w14:paraId="3BC60647" w14:textId="77777777" w:rsidR="00981BFE" w:rsidRDefault="00981BFE" w:rsidP="00981BFE">
      <w:r>
        <w:t>Efter § 2 i offentliggørelsesbekendtgørelsen er penge- og realkreditinstitutter forpligtet til at offentliggøre en redegørelse, som bl.a. indeholder Finanstilsynets tilsynsreaktioner i form af risikooplysninger, påtaler og påbud</w:t>
      </w:r>
      <w:r>
        <w:rPr>
          <w:rStyle w:val="Fodnotehenvisning"/>
        </w:rPr>
        <w:footnoteReference w:id="5"/>
      </w:r>
      <w:r>
        <w:t>.</w:t>
      </w:r>
      <w:r w:rsidRPr="00D80B1D">
        <w:t xml:space="preserve"> </w:t>
      </w:r>
    </w:p>
    <w:p w14:paraId="36EB954E" w14:textId="77777777" w:rsidR="00981BFE" w:rsidRDefault="00981BFE" w:rsidP="00981BFE"/>
    <w:p w14:paraId="06CB9E11" w14:textId="77777777" w:rsidR="00981BFE" w:rsidRDefault="00981BFE" w:rsidP="00981BFE">
      <w:r>
        <w:t xml:space="preserve">I forhold til tilsynsdiamanten indebærer offentliggørelsesbekendtgørelsen, at instituttet skal offentliggøre risikooplysninger, der efter Finanstilsynets vurdering er af betydning for virksomhedens kunder, indskydere, øvrige kreditorer m.v., jf. § 2, stk. 2. </w:t>
      </w:r>
    </w:p>
    <w:p w14:paraId="4C7BA5A7" w14:textId="77777777" w:rsidR="00F62BA7" w:rsidRDefault="00F62BA7" w:rsidP="00F62BA7">
      <w:pPr>
        <w:pStyle w:val="Brdtekst"/>
        <w:rPr>
          <w:i/>
        </w:rPr>
      </w:pPr>
    </w:p>
    <w:p w14:paraId="3E8EC957" w14:textId="77777777" w:rsidR="00F62BA7" w:rsidRPr="00876761" w:rsidRDefault="00876761" w:rsidP="00876761">
      <w:pPr>
        <w:pStyle w:val="Overskrift2"/>
        <w:rPr>
          <w:b w:val="0"/>
          <w:i/>
        </w:rPr>
      </w:pPr>
      <w:bookmarkStart w:id="33" w:name="_Toc343763698"/>
      <w:bookmarkStart w:id="34" w:name="_Toc141862544"/>
      <w:r>
        <w:rPr>
          <w:b w:val="0"/>
          <w:i/>
        </w:rPr>
        <w:t xml:space="preserve">3.1.3. </w:t>
      </w:r>
      <w:r w:rsidR="00F62BA7" w:rsidRPr="00876761">
        <w:rPr>
          <w:b w:val="0"/>
          <w:i/>
        </w:rPr>
        <w:t>Redegørelse og/eller undersøgelse af instituttet</w:t>
      </w:r>
      <w:bookmarkEnd w:id="33"/>
      <w:bookmarkEnd w:id="34"/>
      <w:r w:rsidR="00F62BA7" w:rsidRPr="00876761">
        <w:rPr>
          <w:b w:val="0"/>
          <w:i/>
        </w:rPr>
        <w:t xml:space="preserve"> </w:t>
      </w:r>
    </w:p>
    <w:p w14:paraId="06CEE800" w14:textId="77777777" w:rsidR="00F62BA7" w:rsidRDefault="00F62BA7" w:rsidP="0089706E">
      <w:r>
        <w:t>Ved det næste trin i tilsynsstigen kan Finanstilsynet anmode pengeinstituttet om at udarbejde en redegørelse om fremadrettede aktiviteter for at undgå en fortsat overskridelse af tilsynsdiamantens grænseværdier.</w:t>
      </w:r>
    </w:p>
    <w:p w14:paraId="4AA6EFDD" w14:textId="77777777" w:rsidR="00F62BA7" w:rsidRDefault="00F62BA7" w:rsidP="0089706E"/>
    <w:p w14:paraId="014CBD0B" w14:textId="45750062" w:rsidR="00F62BA7" w:rsidRDefault="00F62BA7" w:rsidP="0089706E">
      <w:r>
        <w:t xml:space="preserve">Finanstilsynet kan desuden påbyde instituttet efter </w:t>
      </w:r>
      <w:proofErr w:type="spellStart"/>
      <w:r>
        <w:t>FiL</w:t>
      </w:r>
      <w:proofErr w:type="spellEnd"/>
      <w:r>
        <w:t xml:space="preserve"> § 349, at virksomhedens ledelse skal udarbejde en redegørelse om virksomhedens økonomiske stilling og fremtidsudsigter. Redegørelsen har til formål at uddybe og specificere virksomhedens økonomiske forhold og fremtidsudsigter til brug for såvel virksomhedens ledelse som Finanstilsynets tilsynsvirksomhed. </w:t>
      </w:r>
    </w:p>
    <w:p w14:paraId="77FCF49B" w14:textId="77777777" w:rsidR="00F62BA7" w:rsidRDefault="00F62BA7" w:rsidP="00F62BA7">
      <w:pPr>
        <w:pStyle w:val="Brdtekst"/>
      </w:pPr>
    </w:p>
    <w:p w14:paraId="3E40E58E" w14:textId="77777777" w:rsidR="00F62BA7" w:rsidRDefault="00F62BA7" w:rsidP="0089706E">
      <w:r>
        <w:t xml:space="preserve">Finanstilsynet kan påbyde instituttet at udarbejde en </w:t>
      </w:r>
      <w:r w:rsidR="0089706E">
        <w:t>§ 349 -</w:t>
      </w:r>
      <w:r>
        <w:t xml:space="preserve"> redegørelse, når der er grund til at antage, at instituttet kan få problemer i fremtiden, men hvor instituttet ikke overtræder lovgivningen. I forhold til tilsynsdiamanten kan påbuddet bl.a. gives, når instituttet </w:t>
      </w:r>
      <w:r w:rsidRPr="00CC26F9">
        <w:t xml:space="preserve">gentagne </w:t>
      </w:r>
      <w:r w:rsidRPr="00CC26F9">
        <w:lastRenderedPageBreak/>
        <w:t>gange</w:t>
      </w:r>
      <w:r>
        <w:t xml:space="preserve"> ikke har reageret tilstrækkeligt på Finanstilsynets risikooplysninger i forhold til tilsynsdiamanten og efter en konkret vurdering af instituttets økonomiske situation. </w:t>
      </w:r>
    </w:p>
    <w:p w14:paraId="5AB358B8" w14:textId="77777777" w:rsidR="00F62BA7" w:rsidRDefault="00F62BA7" w:rsidP="00F62BA7">
      <w:pPr>
        <w:pStyle w:val="Brdtekst"/>
      </w:pPr>
    </w:p>
    <w:p w14:paraId="2D5F6668" w14:textId="77777777" w:rsidR="00981BFE" w:rsidRDefault="00981BFE" w:rsidP="00981BFE">
      <w:r>
        <w:t xml:space="preserve">Finanstilsynet kan </w:t>
      </w:r>
      <w:proofErr w:type="gramStart"/>
      <w:r>
        <w:t>endvidere</w:t>
      </w:r>
      <w:proofErr w:type="gramEnd"/>
      <w:r>
        <w:t xml:space="preserve"> iværksætte en funktionsundersøgelse af det konkrete risikoområde, hvis det vurderes, at der er områder relateret til tilsynsdiamanten, som ikke er tilstrækkeligt belyst. Vurderingen vil ske på baggrund af redegørelsen fra instituttet og ud fra de rapporteringer, som Finanstilsynet har modtaget fra instituttet. Efter funktionsundersøgelsen vil Finanstilsynet udarbejde en redegørelse, som instituttet skal offentliggøre, jf. § 2, stk. 1, i offentliggørelsesbekendtgørelsen. Redegørelsen vil indeholde Finanstilsynets vurdering af instituttet, herunder de centrale påbud, påtaler og risikooplysninger, som instituttet har modtaget fra Finanstilsynet. </w:t>
      </w:r>
    </w:p>
    <w:p w14:paraId="3FE87C46" w14:textId="77777777" w:rsidR="00F62BA7" w:rsidRDefault="00F62BA7" w:rsidP="00F62BA7">
      <w:pPr>
        <w:pStyle w:val="Brdtekst"/>
      </w:pPr>
    </w:p>
    <w:p w14:paraId="54F450C3" w14:textId="77777777" w:rsidR="00F62BA7" w:rsidRPr="00876761" w:rsidRDefault="00876761" w:rsidP="00876761">
      <w:pPr>
        <w:pStyle w:val="Overskrift2"/>
        <w:rPr>
          <w:b w:val="0"/>
          <w:i/>
        </w:rPr>
      </w:pPr>
      <w:bookmarkStart w:id="35" w:name="_Toc343763699"/>
      <w:bookmarkStart w:id="36" w:name="_Toc141862545"/>
      <w:r>
        <w:rPr>
          <w:b w:val="0"/>
          <w:i/>
        </w:rPr>
        <w:t xml:space="preserve">3.1.4. </w:t>
      </w:r>
      <w:proofErr w:type="spellStart"/>
      <w:r w:rsidR="00F62BA7" w:rsidRPr="00876761">
        <w:rPr>
          <w:b w:val="0"/>
          <w:i/>
        </w:rPr>
        <w:t>FiL</w:t>
      </w:r>
      <w:proofErr w:type="spellEnd"/>
      <w:r w:rsidR="00F62BA7" w:rsidRPr="00876761">
        <w:rPr>
          <w:b w:val="0"/>
          <w:i/>
        </w:rPr>
        <w:t xml:space="preserve"> § 350 - påbud</w:t>
      </w:r>
      <w:bookmarkEnd w:id="35"/>
      <w:bookmarkEnd w:id="36"/>
    </w:p>
    <w:p w14:paraId="3BCB1FAF" w14:textId="349C9A4D" w:rsidR="00F62BA7" w:rsidRDefault="00F62BA7" w:rsidP="0089706E">
      <w:r>
        <w:t>I forhold til tilsynsdiamanten kan Finanstilsynet i sidste ende</w:t>
      </w:r>
      <w:r w:rsidR="00981BFE">
        <w:t>,</w:t>
      </w:r>
      <w:r>
        <w:t xml:space="preserve"> baseret på en konkret og individuel </w:t>
      </w:r>
      <w:r w:rsidR="00940BF5">
        <w:t>vurdering</w:t>
      </w:r>
      <w:r w:rsidR="00981BFE">
        <w:t>, give instituttet et påbud</w:t>
      </w:r>
      <w:r w:rsidR="00067C5F">
        <w:t xml:space="preserve"> om f</w:t>
      </w:r>
      <w:r w:rsidR="004E06FF">
        <w:t>.eks.</w:t>
      </w:r>
      <w:r w:rsidR="00067C5F">
        <w:t xml:space="preserve"> at nedbringe udlånsvæksten</w:t>
      </w:r>
      <w:r>
        <w:t>. Hvis instituttet kan dokumentere eller sandsynliggøre at overskridelserne ikke fører til en høj risiko, vil der ikke nødvendigvis blive givet et påbud efter § 350. Påbuddet kan anvendes i de situationer, hvor (1) virksomheden</w:t>
      </w:r>
      <w:r w:rsidR="007E0634">
        <w:t>s økonomiske stilling er så</w:t>
      </w:r>
      <w:r>
        <w:t xml:space="preserve"> forringet, at indskydernes eller investorernes interesser er udsat for fare, eller (2) der er en betydelig risiko for, at virksomhedens økonomiske stilling udvikler sig således, at instituttet mister sin tilladelse.</w:t>
      </w:r>
    </w:p>
    <w:p w14:paraId="7A8B440D" w14:textId="77777777" w:rsidR="00F62BA7" w:rsidRDefault="00F62BA7" w:rsidP="007E0634"/>
    <w:p w14:paraId="4BBEB1DD" w14:textId="77777777" w:rsidR="00F62BA7" w:rsidRDefault="00F62BA7" w:rsidP="007E0634">
      <w:r>
        <w:t>Et påbud efter § 350 skal konkretiseres så tilstrækkeligt, at ledelsen i instituttet reelt har mulighed for at imødekomme det. Eksempler på påbud efter § 350 kan være:</w:t>
      </w:r>
    </w:p>
    <w:p w14:paraId="6DBA50F6" w14:textId="77777777" w:rsidR="00F62BA7" w:rsidRDefault="00F62BA7" w:rsidP="007E0634">
      <w:pPr>
        <w:pStyle w:val="Listeafsnit"/>
        <w:numPr>
          <w:ilvl w:val="0"/>
          <w:numId w:val="0"/>
        </w:numPr>
        <w:ind w:left="360"/>
      </w:pPr>
    </w:p>
    <w:p w14:paraId="1FC0D9DE" w14:textId="77777777" w:rsidR="00F62BA7" w:rsidRDefault="00F62BA7" w:rsidP="007E0634">
      <w:pPr>
        <w:pStyle w:val="Listeafsnit"/>
      </w:pPr>
      <w:r>
        <w:t>Nedjustering af forretningsområder og salg af aktiver.</w:t>
      </w:r>
    </w:p>
    <w:p w14:paraId="4472CDB9" w14:textId="77777777" w:rsidR="00F62BA7" w:rsidRDefault="00F62BA7" w:rsidP="00FE3F9E">
      <w:pPr>
        <w:pStyle w:val="Listeafsnit"/>
      </w:pPr>
      <w:r>
        <w:t>Begrænse udvidelse af filialnettet eller lukning af filialer.</w:t>
      </w:r>
    </w:p>
    <w:p w14:paraId="034B1544" w14:textId="77777777" w:rsidR="00F62BA7" w:rsidRDefault="00F62BA7" w:rsidP="00FE3F9E">
      <w:pPr>
        <w:pStyle w:val="Listeafsnit"/>
      </w:pPr>
      <w:r>
        <w:t>Forbyde eller begrænse visse forretningsområder, produkter eller kundesegmenter.</w:t>
      </w:r>
    </w:p>
    <w:p w14:paraId="727B8A1F" w14:textId="77777777" w:rsidR="00F62BA7" w:rsidRDefault="00F62BA7" w:rsidP="00D80B1D"/>
    <w:p w14:paraId="086EBEDA" w14:textId="77777777" w:rsidR="00F62BA7" w:rsidRDefault="00F62BA7" w:rsidP="00D80B1D">
      <w:r>
        <w:t xml:space="preserve">Instituttet skal som hovedregel offentliggøre påbud efter </w:t>
      </w:r>
      <w:proofErr w:type="spellStart"/>
      <w:r>
        <w:t>FiL</w:t>
      </w:r>
      <w:proofErr w:type="spellEnd"/>
      <w:r>
        <w:t xml:space="preserve"> § 350, hvis det vurderes, at påbuddet </w:t>
      </w:r>
      <w:r w:rsidRPr="00D80B1D">
        <w:t>har betydning for instituttets kunder, indskydere, øvrige kreditorer eller de finansielle markeder, hvorpå aktierne i</w:t>
      </w:r>
      <w:r>
        <w:t xml:space="preserve"> instituttet handles, jf. § 2, stk. 2 i offentliggørelsesbekendtgørelsen. Påbud efter § 350 må formodes at have væsentlig betydning for personer i de nævnte grupper, hvorfor instituttet som hovedregel skal offentliggøre på</w:t>
      </w:r>
      <w:r w:rsidR="007E0634">
        <w:t>bud</w:t>
      </w:r>
      <w:r>
        <w:t xml:space="preserve"> givet efter § 350.</w:t>
      </w:r>
    </w:p>
    <w:p w14:paraId="1B9C77DB" w14:textId="77777777" w:rsidR="00F62BA7" w:rsidRDefault="00F62BA7" w:rsidP="001850B3">
      <w:pPr>
        <w:rPr>
          <w:rFonts w:ascii="Times New Roman" w:eastAsia="Times New Roman" w:hAnsi="Times New Roman"/>
          <w:sz w:val="24"/>
          <w:szCs w:val="20"/>
          <w:lang w:eastAsia="da-DK"/>
        </w:rPr>
      </w:pPr>
    </w:p>
    <w:p w14:paraId="5CAECB0C" w14:textId="77777777" w:rsidR="004E06FF" w:rsidRDefault="004E06FF" w:rsidP="001850B3">
      <w:r>
        <w:t>Instituttet kan få tilladelse fra Finanstilsynet til at udskyde offentliggørelse af påbud eller påtale, hvis den vil føre til uforholdsmæssig stor skade for virksomheden. Det kan f.eks. være, hvis en overskridelse af likviditetspejlemærket skyldes likviditetsmæssige udfordringer på markedet eller for virksomheden specifikt.</w:t>
      </w:r>
    </w:p>
    <w:p w14:paraId="38B077EE" w14:textId="77777777" w:rsidR="00696C63" w:rsidRPr="004E06FF" w:rsidRDefault="00696C63" w:rsidP="001850B3"/>
    <w:p w14:paraId="64F5C6DE" w14:textId="77777777" w:rsidR="008C100E" w:rsidRDefault="008C100E" w:rsidP="001850B3"/>
    <w:p w14:paraId="43DB1195" w14:textId="77777777" w:rsidR="00A302CB" w:rsidRDefault="00A302CB" w:rsidP="00AA276D">
      <w:pPr>
        <w:pStyle w:val="Overskrift2"/>
        <w:numPr>
          <w:ilvl w:val="0"/>
          <w:numId w:val="21"/>
        </w:numPr>
      </w:pPr>
      <w:bookmarkStart w:id="37" w:name="_Toc343763700"/>
      <w:bookmarkStart w:id="38" w:name="_Toc141862546"/>
      <w:r>
        <w:t>Offentliggørel</w:t>
      </w:r>
      <w:r w:rsidR="00D80B1D">
        <w:t>se</w:t>
      </w:r>
      <w:r w:rsidR="006B40B9">
        <w:t>sforpligtelser i forbindelse med tilsynsdiamanten</w:t>
      </w:r>
      <w:bookmarkEnd w:id="37"/>
      <w:bookmarkEnd w:id="38"/>
    </w:p>
    <w:p w14:paraId="463E604A" w14:textId="77777777" w:rsidR="00D80B1D" w:rsidRDefault="00D80B1D" w:rsidP="00D80B1D">
      <w:pPr>
        <w:rPr>
          <w:highlight w:val="yellow"/>
        </w:rPr>
      </w:pPr>
    </w:p>
    <w:p w14:paraId="6200C495" w14:textId="77777777" w:rsidR="00A302CB" w:rsidRDefault="006E7EBB" w:rsidP="00D80B1D">
      <w:r>
        <w:t>Institutterne har følgende offentliggørelsesforpligtelser i forbindelse med tilsynsdiamanten:</w:t>
      </w:r>
    </w:p>
    <w:p w14:paraId="52826FD4" w14:textId="77777777" w:rsidR="006E7EBB" w:rsidRDefault="006E7EBB" w:rsidP="00D80B1D"/>
    <w:p w14:paraId="710900D6" w14:textId="07A3E383" w:rsidR="006E7EBB" w:rsidRDefault="00940BF5" w:rsidP="006E7EBB">
      <w:pPr>
        <w:pStyle w:val="Listeafsnit"/>
      </w:pPr>
      <w:r>
        <w:t xml:space="preserve">Institutterne skal som minimum </w:t>
      </w:r>
      <w:r w:rsidR="006E7EBB">
        <w:t xml:space="preserve">offentliggøre </w:t>
      </w:r>
      <w:r>
        <w:t xml:space="preserve">nøgletalsværdier på de </w:t>
      </w:r>
      <w:r w:rsidR="009743D8">
        <w:t>fire</w:t>
      </w:r>
      <w:r>
        <w:t xml:space="preserve"> pejlemærker</w:t>
      </w:r>
      <w:r w:rsidR="006E7EBB">
        <w:t xml:space="preserve"> i forbindelse med årsrapporten</w:t>
      </w:r>
      <w:r w:rsidR="008C100E">
        <w:t xml:space="preserve"> og halvårsrapporten</w:t>
      </w:r>
      <w:r w:rsidR="006E7EBB">
        <w:t xml:space="preserve">, jf. </w:t>
      </w:r>
      <w:r w:rsidR="006E7EBB" w:rsidRPr="006E7EBB">
        <w:t>§ 132b til bekendtgørelse om finansielle rapporter for kreditinstitutter og fondsmæglerselskaber m.fl.</w:t>
      </w:r>
      <w:r w:rsidR="006E7EBB" w:rsidRPr="00DA4D97">
        <w:t xml:space="preserve"> </w:t>
      </w:r>
    </w:p>
    <w:p w14:paraId="0172165F" w14:textId="77777777" w:rsidR="00981BFE" w:rsidRDefault="00981BFE" w:rsidP="00981BFE">
      <w:pPr>
        <w:pStyle w:val="Listeafsnit"/>
      </w:pPr>
      <w:r>
        <w:lastRenderedPageBreak/>
        <w:t>Ved overskridelser, der afstedkommer en tilsynsreaktion, har instituttet pligt til at offentliggøre de påbud, påtaler og risikooplysninger, som efter Finanstilsynets vurdering er af betydning for instituttets kunder, indskydere, øvrige kreditorer m.v., jf. § 2, stk. 2 i offentliggørelsesbekendtgørelsen.</w:t>
      </w:r>
    </w:p>
    <w:p w14:paraId="10D0DB1C" w14:textId="77777777" w:rsidR="00A302CB" w:rsidRDefault="00A302CB" w:rsidP="00A302CB">
      <w:pPr>
        <w:pStyle w:val="Brdtekst"/>
      </w:pPr>
    </w:p>
    <w:p w14:paraId="4455D324" w14:textId="77777777" w:rsidR="00CA5F87" w:rsidRDefault="00CA5F8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color w:val="990000"/>
          <w:kern w:val="32"/>
          <w:sz w:val="32"/>
          <w:szCs w:val="32"/>
        </w:rPr>
      </w:pPr>
      <w:r>
        <w:br w:type="page"/>
      </w:r>
    </w:p>
    <w:p w14:paraId="3772752D" w14:textId="4C3C675A" w:rsidR="00E071D9" w:rsidRDefault="004E06FF" w:rsidP="008E10B9">
      <w:pPr>
        <w:pStyle w:val="Overskrift2"/>
      </w:pPr>
      <w:bookmarkStart w:id="39" w:name="_Toc141862547"/>
      <w:r>
        <w:lastRenderedPageBreak/>
        <w:t>Bilag 1 – Teknisk beregning af likviditetspejlemærket</w:t>
      </w:r>
      <w:bookmarkEnd w:id="39"/>
    </w:p>
    <w:p w14:paraId="3D060093" w14:textId="3985B96B" w:rsidR="004E06FF" w:rsidRDefault="004E06FF" w:rsidP="004E06FF">
      <w:r>
        <w:t xml:space="preserve">Likviditetspejlemærket er baseret på COREP LCR-indberetningen (skema C 72.00, C 73.00 og C 74.00) og </w:t>
      </w:r>
      <w:proofErr w:type="spellStart"/>
      <w:r>
        <w:t>Maturity</w:t>
      </w:r>
      <w:proofErr w:type="spellEnd"/>
      <w:r>
        <w:t xml:space="preserve"> </w:t>
      </w:r>
      <w:proofErr w:type="spellStart"/>
      <w:r>
        <w:t>Ladder</w:t>
      </w:r>
      <w:proofErr w:type="spellEnd"/>
      <w:r>
        <w:t xml:space="preserve"> Template (skemaet C 66.00) i </w:t>
      </w:r>
      <w:r w:rsidRPr="00315C1D">
        <w:t>COREP</w:t>
      </w:r>
      <w:r>
        <w:t xml:space="preserve"> AMM-</w:t>
      </w:r>
      <w:r w:rsidRPr="00315C1D">
        <w:t xml:space="preserve">indberetning, </w:t>
      </w:r>
      <w:r w:rsidR="00433B5F">
        <w:t>som er blevet ændret pr.</w:t>
      </w:r>
      <w:r w:rsidRPr="00315C1D">
        <w:t xml:space="preserve"> </w:t>
      </w:r>
      <w:r w:rsidR="00433B5F">
        <w:t>juni</w:t>
      </w:r>
      <w:r w:rsidRPr="00315C1D">
        <w:t xml:space="preserve"> 20</w:t>
      </w:r>
      <w:r w:rsidR="00433B5F">
        <w:t>23</w:t>
      </w:r>
      <w:r w:rsidRPr="00DE7FBA">
        <w:t>.</w:t>
      </w:r>
      <w:r>
        <w:t xml:space="preserve"> Likviditetspejlemærket gælder kun for de ikke-valutafordelte opgørelser (dvs. ikke på hver enkel valuta). Finanstilsynet vil opgøre likviditetspejlemærket kvartalsvist på baggrund af indberettede data. Opgørelsesmetoden er beskrevet herunder.  </w:t>
      </w:r>
    </w:p>
    <w:p w14:paraId="2A50D2A2" w14:textId="77777777" w:rsidR="004E06FF" w:rsidRDefault="004E06FF" w:rsidP="004E06FF"/>
    <w:p w14:paraId="79AD5269" w14:textId="77777777" w:rsidR="004E06FF" w:rsidRPr="00EA2B67" w:rsidRDefault="004E06FF" w:rsidP="004E06FF">
      <w:r>
        <w:t xml:space="preserve">Likviditetspejlemærket er på tidshorisont </w:t>
      </w:r>
      <w:r w:rsidRPr="00BA58C5">
        <w:rPr>
          <w:i/>
        </w:rPr>
        <w:t>x</w:t>
      </w:r>
      <w:r>
        <w:t xml:space="preserve"> defineret som:</w:t>
      </w:r>
    </w:p>
    <w:p w14:paraId="093F83E1" w14:textId="77777777" w:rsidR="004E06FF" w:rsidRDefault="004E06FF" w:rsidP="004E06FF">
      <w:pPr>
        <w:pStyle w:val="Brdtekst"/>
        <w:rPr>
          <w:rFonts w:ascii="Constantia" w:hAnsi="Constantia"/>
          <w:sz w:val="22"/>
        </w:rPr>
      </w:pPr>
    </w:p>
    <w:p w14:paraId="64B2FA6B" w14:textId="77777777" w:rsidR="004E06FF" w:rsidRPr="00512023" w:rsidRDefault="00000000"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413DD71A"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7C71E06D" w14:textId="77777777" w:rsidR="004E06FF" w:rsidRPr="00EB63A0" w:rsidRDefault="00000000"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37BBA996" w14:textId="77777777" w:rsidR="004E06FF" w:rsidRPr="007C7FDC" w:rsidRDefault="004E06FF" w:rsidP="004E06FF"/>
    <w:p w14:paraId="3565C03A" w14:textId="77777777" w:rsidR="004E06FF" w:rsidRDefault="004E06FF" w:rsidP="004E06FF">
      <w:r>
        <w:t>, hvor t=1 svare til de 30 dage LCR dækker, t=2 er to måneder og t=3 er tre måneder.</w:t>
      </w:r>
    </w:p>
    <w:p w14:paraId="1B8C37A8" w14:textId="77777777" w:rsidR="004E06FF" w:rsidRDefault="004E06FF" w:rsidP="004E06FF"/>
    <w:p w14:paraId="6D3FDF8D" w14:textId="77777777" w:rsidR="004E06FF" w:rsidRDefault="004E06FF" w:rsidP="004E06FF">
      <w:r>
        <w:t xml:space="preserve">Nedenfor defineres hver af de tre delelementer i brøken i det der henvises til de specifikke COREP skemaer, hvor r henviser til række og k til kolonne. F.eks. henviser ”C 72.00, r010, k040” til række 010 kolonne 040 i COREP-skema C72.00. </w:t>
      </w:r>
    </w:p>
    <w:p w14:paraId="467014EA" w14:textId="77777777" w:rsidR="004E06FF" w:rsidRPr="006B36FE" w:rsidRDefault="004E06FF" w:rsidP="004E06FF"/>
    <w:p w14:paraId="54DF360A" w14:textId="77777777" w:rsidR="004E06FF" w:rsidRPr="0091566B" w:rsidRDefault="004E06FF" w:rsidP="0091566B">
      <w:pPr>
        <w:rPr>
          <w:i/>
        </w:rPr>
      </w:pPr>
      <w:r w:rsidRPr="0091566B">
        <w:rPr>
          <w:i/>
        </w:rPr>
        <w:t>Ny opgørelse af beholdning af højkvalitetslikvide aktiver</w:t>
      </w:r>
    </w:p>
    <w:p w14:paraId="12290017" w14:textId="77777777" w:rsidR="004E06FF" w:rsidRDefault="004E06FF" w:rsidP="004E06FF">
      <w:pPr>
        <w:rPr>
          <w:rFonts w:cs="Arial"/>
          <w:szCs w:val="21"/>
        </w:rPr>
      </w:pPr>
      <w:r>
        <w:rPr>
          <w:rFonts w:cs="Arial"/>
          <w:szCs w:val="21"/>
        </w:rPr>
        <w:t>Beholdningen af højkvalitetslikvide aktiver er uafhængig af tid. Den beregnes som summen af</w:t>
      </w:r>
      <w:r w:rsidRPr="00C75C68">
        <w:rPr>
          <w:rFonts w:cs="Arial"/>
          <w:szCs w:val="21"/>
        </w:rPr>
        <w:t xml:space="preserve"> </w:t>
      </w:r>
      <w:r>
        <w:rPr>
          <w:rFonts w:cs="Arial"/>
          <w:szCs w:val="21"/>
        </w:rPr>
        <w:t>følgende poster:</w:t>
      </w:r>
    </w:p>
    <w:p w14:paraId="49F53FC2" w14:textId="77777777" w:rsidR="004E06FF" w:rsidRDefault="004E06FF" w:rsidP="004E06FF">
      <w:pPr>
        <w:pStyle w:val="Listeafsnit"/>
        <w:numPr>
          <w:ilvl w:val="0"/>
          <w:numId w:val="23"/>
        </w:numPr>
        <w:tabs>
          <w:tab w:val="clear" w:pos="567"/>
          <w:tab w:val="left" w:pos="709"/>
        </w:tabs>
        <w:rPr>
          <w:rFonts w:cs="Arial"/>
          <w:szCs w:val="21"/>
        </w:rPr>
      </w:pPr>
      <w:r>
        <w:rPr>
          <w:rFonts w:cs="Arial"/>
          <w:szCs w:val="21"/>
        </w:rPr>
        <w:t>C 72.00, r010, k040</w:t>
      </w:r>
    </w:p>
    <w:p w14:paraId="609BC14D" w14:textId="1E26A2DE" w:rsidR="004E06FF" w:rsidRDefault="004E06FF" w:rsidP="004E06FF">
      <w:pPr>
        <w:pStyle w:val="Listeafsnit"/>
        <w:numPr>
          <w:ilvl w:val="0"/>
          <w:numId w:val="23"/>
        </w:numPr>
        <w:tabs>
          <w:tab w:val="clear" w:pos="567"/>
          <w:tab w:val="left" w:pos="709"/>
        </w:tabs>
        <w:rPr>
          <w:rFonts w:cs="Arial"/>
          <w:szCs w:val="21"/>
        </w:rPr>
      </w:pPr>
      <w:r>
        <w:rPr>
          <w:rFonts w:cs="Arial"/>
          <w:szCs w:val="21"/>
        </w:rPr>
        <w:t>C 66.00, r960, k0</w:t>
      </w:r>
      <w:r w:rsidR="006D6651">
        <w:rPr>
          <w:rFonts w:cs="Arial"/>
          <w:szCs w:val="21"/>
        </w:rPr>
        <w:t>1</w:t>
      </w:r>
      <w:r>
        <w:rPr>
          <w:rFonts w:cs="Arial"/>
          <w:szCs w:val="21"/>
        </w:rPr>
        <w:t>0</w:t>
      </w:r>
      <w:r w:rsidR="006464DE">
        <w:rPr>
          <w:rFonts w:cs="Arial"/>
          <w:szCs w:val="21"/>
        </w:rPr>
        <w:t>-k110</w:t>
      </w:r>
      <w:r>
        <w:rPr>
          <w:rFonts w:cs="Arial"/>
          <w:szCs w:val="21"/>
        </w:rPr>
        <w:t xml:space="preserve"> * 0,80</w:t>
      </w:r>
    </w:p>
    <w:p w14:paraId="5253A048" w14:textId="25C76536" w:rsidR="004E06FF" w:rsidRPr="004E06FF" w:rsidRDefault="004E06FF" w:rsidP="00492A77">
      <w:pPr>
        <w:pStyle w:val="Listeafsnit"/>
        <w:numPr>
          <w:ilvl w:val="0"/>
          <w:numId w:val="23"/>
        </w:numPr>
        <w:tabs>
          <w:tab w:val="clear" w:pos="567"/>
          <w:tab w:val="left" w:pos="709"/>
        </w:tabs>
        <w:ind w:left="709" w:hanging="284"/>
        <w:rPr>
          <w:rFonts w:cs="Arial"/>
          <w:szCs w:val="21"/>
        </w:rPr>
      </w:pPr>
      <w:r w:rsidRPr="004E06FF">
        <w:rPr>
          <w:rFonts w:cs="Arial"/>
          <w:szCs w:val="21"/>
        </w:rPr>
        <w:t>Beholdning af egne dækkede obligationer</w:t>
      </w:r>
      <w:r w:rsidR="00492A77">
        <w:rPr>
          <w:rFonts w:cs="Arial"/>
          <w:szCs w:val="21"/>
        </w:rPr>
        <w:t xml:space="preserve"> for pengeinstitutter</w:t>
      </w:r>
      <w:r w:rsidR="005E3F94">
        <w:rPr>
          <w:rFonts w:cs="Arial"/>
          <w:szCs w:val="21"/>
        </w:rPr>
        <w:t>,</w:t>
      </w:r>
      <w:r w:rsidR="00492A77">
        <w:rPr>
          <w:rFonts w:cs="Arial"/>
          <w:szCs w:val="21"/>
        </w:rPr>
        <w:t xml:space="preserve"> der er koncernforbundet med et realkreditinstitut</w:t>
      </w:r>
      <w:r w:rsidR="006464DE">
        <w:rPr>
          <w:rFonts w:cs="Arial"/>
          <w:szCs w:val="21"/>
        </w:rPr>
        <w:t xml:space="preserve"> justeret ift. </w:t>
      </w:r>
      <w:proofErr w:type="spellStart"/>
      <w:r w:rsidR="006464DE">
        <w:rPr>
          <w:rFonts w:cs="Arial"/>
          <w:szCs w:val="21"/>
        </w:rPr>
        <w:t>repo</w:t>
      </w:r>
      <w:proofErr w:type="spellEnd"/>
      <w:r w:rsidR="006464DE">
        <w:rPr>
          <w:rFonts w:cs="Arial"/>
          <w:szCs w:val="21"/>
        </w:rPr>
        <w:t xml:space="preserve"> og revers-</w:t>
      </w:r>
      <w:proofErr w:type="spellStart"/>
      <w:r w:rsidR="006464DE">
        <w:rPr>
          <w:rFonts w:cs="Arial"/>
          <w:szCs w:val="21"/>
        </w:rPr>
        <w:t>repo</w:t>
      </w:r>
      <w:proofErr w:type="spellEnd"/>
      <w:r w:rsidR="006464DE">
        <w:rPr>
          <w:rFonts w:cs="Arial"/>
          <w:szCs w:val="21"/>
        </w:rPr>
        <w:t xml:space="preserve"> forretninger der forfalder indenfor de næste 30 dage, hvor </w:t>
      </w:r>
      <w:r w:rsidR="006464DE" w:rsidRPr="004E06FF">
        <w:rPr>
          <w:rFonts w:cs="Arial"/>
          <w:szCs w:val="21"/>
        </w:rPr>
        <w:t>egne dækkede obligationer</w:t>
      </w:r>
      <w:r w:rsidR="006464DE">
        <w:rPr>
          <w:rFonts w:cs="Arial"/>
          <w:szCs w:val="21"/>
        </w:rPr>
        <w:t xml:space="preserve"> anvendes som kollateral </w:t>
      </w:r>
      <w:r w:rsidR="005E3F94">
        <w:rPr>
          <w:rFonts w:cs="Arial"/>
          <w:szCs w:val="21"/>
        </w:rPr>
        <w:t>* 0,80</w:t>
      </w:r>
    </w:p>
    <w:p w14:paraId="6D38C6EA" w14:textId="77777777" w:rsidR="004E06FF" w:rsidRDefault="004E06FF" w:rsidP="004E06FF">
      <w:pPr>
        <w:tabs>
          <w:tab w:val="clear" w:pos="567"/>
          <w:tab w:val="left" w:pos="709"/>
        </w:tabs>
        <w:rPr>
          <w:rFonts w:cs="Arial"/>
          <w:szCs w:val="21"/>
        </w:rPr>
      </w:pPr>
    </w:p>
    <w:p w14:paraId="3633FA44" w14:textId="77777777" w:rsidR="004E06FF" w:rsidRPr="0091566B" w:rsidRDefault="004E06FF" w:rsidP="0091566B">
      <w:pPr>
        <w:rPr>
          <w:i/>
        </w:rPr>
      </w:pPr>
      <w:r w:rsidRPr="0091566B">
        <w:rPr>
          <w:i/>
        </w:rPr>
        <w:t xml:space="preserve">Ny </w:t>
      </w:r>
      <w:proofErr w:type="spellStart"/>
      <w:r w:rsidRPr="0091566B">
        <w:rPr>
          <w:i/>
        </w:rPr>
        <w:t>udegående</w:t>
      </w:r>
      <w:proofErr w:type="spellEnd"/>
      <w:r w:rsidRPr="0091566B">
        <w:rPr>
          <w:i/>
        </w:rPr>
        <w:t xml:space="preserve"> pengestrømme</w:t>
      </w:r>
    </w:p>
    <w:p w14:paraId="0314D4E7" w14:textId="77777777" w:rsidR="004E06FF" w:rsidRDefault="004E06FF" w:rsidP="004E06FF">
      <w:r>
        <w:t xml:space="preserve">På t=1 er de </w:t>
      </w:r>
      <w:proofErr w:type="spellStart"/>
      <w:r>
        <w:t>udegående</w:t>
      </w:r>
      <w:proofErr w:type="spellEnd"/>
      <w:r>
        <w:t xml:space="preserve"> pengestrømme lig dem, der anvendes i LCR-opgørelsen, dvs. C 73.00, r010, k060.</w:t>
      </w:r>
    </w:p>
    <w:p w14:paraId="51385F5C" w14:textId="77777777" w:rsidR="004E06FF" w:rsidRDefault="004E06FF" w:rsidP="004E06FF"/>
    <w:p w14:paraId="0A2A55CD" w14:textId="77777777" w:rsidR="0091566B" w:rsidRDefault="009156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
        <w:br w:type="page"/>
      </w:r>
    </w:p>
    <w:p w14:paraId="7AAF2429" w14:textId="56801173" w:rsidR="004E06FF" w:rsidRDefault="004E06FF" w:rsidP="004E06FF">
      <w:r>
        <w:lastRenderedPageBreak/>
        <w:t xml:space="preserve">På t=2 er de </w:t>
      </w:r>
      <w:proofErr w:type="spellStart"/>
      <w:r>
        <w:t>udegående</w:t>
      </w:r>
      <w:proofErr w:type="spellEnd"/>
      <w:r>
        <w:t xml:space="preserve"> pengestrømme lig C 73.00, r010, k060 plus den vægtede sum af </w:t>
      </w:r>
      <w:proofErr w:type="spellStart"/>
      <w:r>
        <w:t>nedestående</w:t>
      </w:r>
      <w:proofErr w:type="spellEnd"/>
      <w:r>
        <w:t xml:space="preserve"> poster i C 66.00:</w:t>
      </w:r>
    </w:p>
    <w:tbl>
      <w:tblPr>
        <w:tblW w:w="9443" w:type="dxa"/>
        <w:tblCellMar>
          <w:left w:w="70" w:type="dxa"/>
          <w:right w:w="70" w:type="dxa"/>
        </w:tblCellMar>
        <w:tblLook w:val="04A0" w:firstRow="1" w:lastRow="0" w:firstColumn="1" w:lastColumn="0" w:noHBand="0" w:noVBand="1"/>
      </w:tblPr>
      <w:tblGrid>
        <w:gridCol w:w="826"/>
        <w:gridCol w:w="5543"/>
        <w:gridCol w:w="1559"/>
        <w:gridCol w:w="1515"/>
      </w:tblGrid>
      <w:tr w:rsidR="004E06FF" w:rsidRPr="00DC478E" w14:paraId="1CCA8A35"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2C0B44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DC478E">
              <w:rPr>
                <w:rFonts w:ascii="Verdana" w:eastAsia="Times New Roman" w:hAnsi="Verdana" w:cs="Arial"/>
                <w:b/>
                <w:bCs/>
                <w:color w:val="000000"/>
                <w:sz w:val="18"/>
                <w:szCs w:val="18"/>
                <w:lang w:val="en-US" w:eastAsia="da-DK"/>
              </w:rPr>
              <w:t>Kolonne</w:t>
            </w:r>
            <w:proofErr w:type="spellEnd"/>
            <w:r w:rsidRPr="00DC478E">
              <w:rPr>
                <w:rFonts w:ascii="Verdana" w:eastAsia="Times New Roman" w:hAnsi="Verdana" w:cs="Arial"/>
                <w:b/>
                <w:bCs/>
                <w:color w:val="000000"/>
                <w:sz w:val="18"/>
                <w:szCs w:val="18"/>
                <w:lang w:val="en-US" w:eastAsia="da-DK"/>
              </w:rPr>
              <w:t xml:space="preserv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4754F1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D1698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DC478E">
              <w:rPr>
                <w:rFonts w:ascii="Verdana" w:eastAsia="Times New Roman" w:hAnsi="Verdana" w:cs="Arial"/>
                <w:b/>
                <w:sz w:val="18"/>
                <w:szCs w:val="18"/>
                <w:lang w:val="en-US" w:eastAsia="da-DK"/>
              </w:rPr>
              <w:t>130</w:t>
            </w:r>
          </w:p>
        </w:tc>
      </w:tr>
      <w:tr w:rsidR="004E06FF" w:rsidRPr="005E66CF" w14:paraId="6CE9AEEF"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2124DA2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DC478E">
              <w:rPr>
                <w:rFonts w:ascii="Verdana" w:eastAsia="Times New Roman" w:hAnsi="Verdana" w:cs="Arial"/>
                <w:b/>
                <w:sz w:val="18"/>
                <w:szCs w:val="18"/>
                <w:lang w:eastAsia="da-DK"/>
              </w:rPr>
              <w:t>R</w:t>
            </w:r>
            <w:r w:rsidRPr="00DC478E">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1441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DC478E">
              <w:rPr>
                <w:rFonts w:ascii="Verdana" w:eastAsia="Times New Roman" w:hAnsi="Verdana" w:cs="Arial"/>
                <w:b/>
                <w:bCs/>
                <w:color w:val="000000"/>
                <w:sz w:val="18"/>
                <w:szCs w:val="18"/>
                <w:lang w:val="en-US" w:eastAsia="da-DK"/>
              </w:rPr>
              <w:t>Outflows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EC662"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7D59C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DC478E">
              <w:rPr>
                <w:rFonts w:ascii="Verdana" w:hAnsi="Verdana" w:cs="Arial"/>
                <w:b/>
                <w:bCs/>
                <w:sz w:val="18"/>
                <w:szCs w:val="18"/>
                <w:lang w:val="en-US"/>
              </w:rPr>
              <w:t>Greater than 5 weeks up to 2 months</w:t>
            </w:r>
          </w:p>
        </w:tc>
      </w:tr>
      <w:tr w:rsidR="004E06FF" w:rsidRPr="00DC478E" w14:paraId="2FA91C2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BE9034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152FAFC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proofErr w:type="spellStart"/>
            <w:r w:rsidRPr="00A91A19">
              <w:rPr>
                <w:rFonts w:ascii="Verdana" w:eastAsia="Times New Roman" w:hAnsi="Verdana" w:cs="Arial"/>
                <w:color w:val="000000"/>
                <w:sz w:val="18"/>
                <w:szCs w:val="18"/>
                <w:lang w:eastAsia="da-DK"/>
              </w:rPr>
              <w:t>unsecured</w:t>
            </w:r>
            <w:proofErr w:type="spellEnd"/>
            <w:r w:rsidRPr="00A91A19">
              <w:rPr>
                <w:rFonts w:ascii="Verdana" w:eastAsia="Times New Roman" w:hAnsi="Verdana" w:cs="Arial"/>
                <w:color w:val="000000"/>
                <w:sz w:val="18"/>
                <w:szCs w:val="18"/>
                <w:lang w:eastAsia="da-DK"/>
              </w:rPr>
              <w:t xml:space="preserve"> </w:t>
            </w:r>
            <w:proofErr w:type="spellStart"/>
            <w:r w:rsidRPr="00A91A19">
              <w:rPr>
                <w:rFonts w:ascii="Verdana" w:eastAsia="Times New Roman" w:hAnsi="Verdana" w:cs="Arial"/>
                <w:color w:val="000000"/>
                <w:sz w:val="18"/>
                <w:szCs w:val="18"/>
                <w:lang w:eastAsia="da-DK"/>
              </w:rPr>
              <w:t>bonds</w:t>
            </w:r>
            <w:proofErr w:type="spellEnd"/>
            <w:r w:rsidRPr="00A91A19">
              <w:rPr>
                <w:rFonts w:ascii="Verdana" w:eastAsia="Times New Roman" w:hAnsi="Verdana" w:cs="Arial"/>
                <w:color w:val="000000"/>
                <w:sz w:val="18"/>
                <w:szCs w:val="18"/>
                <w:lang w:eastAsia="da-DK"/>
              </w:rPr>
              <w:t xml:space="preserve"> due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766DB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B967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2411C0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5AA60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7446231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DE3FB"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FE2E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r>
      <w:tr w:rsidR="004E06FF" w:rsidRPr="00DC478E" w14:paraId="48350FF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25A5C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75533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A91A19">
              <w:rPr>
                <w:rFonts w:ascii="Verdana" w:eastAsia="Times New Roman" w:hAnsi="Verdana" w:cs="Arial"/>
                <w:color w:val="000000"/>
                <w:sz w:val="18"/>
                <w:szCs w:val="18"/>
                <w:lang w:val="en-US" w:eastAsia="da-DK"/>
              </w:rPr>
              <w:t>securitisations</w:t>
            </w:r>
            <w:proofErr w:type="spellEnd"/>
            <w:r w:rsidRPr="00A91A19">
              <w:rPr>
                <w:rFonts w:ascii="Verdana" w:eastAsia="Times New Roman" w:hAnsi="Verdana" w:cs="Arial"/>
                <w:color w:val="000000"/>
                <w:sz w:val="18"/>
                <w:szCs w:val="18"/>
                <w:lang w:val="en-US" w:eastAsia="da-DK"/>
              </w:rPr>
              <w:t xml:space="preserve"> due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AD88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D0A6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4FBC0901"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6B2954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C15AC1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78E73E"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C288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676A05B" w14:textId="77777777" w:rsidTr="001901A9">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51E69889"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5E66CF" w14:paraId="0C43F95D" w14:textId="77777777" w:rsidTr="00B510B5">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6A16EB0B" w14:textId="61540304"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non-Central Bank</w:t>
            </w:r>
          </w:p>
        </w:tc>
      </w:tr>
      <w:tr w:rsidR="004E06FF" w:rsidRPr="00DC478E" w14:paraId="114957C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B24127" w14:textId="5A2700D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007A748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D5F09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C4AA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r>
      <w:tr w:rsidR="004E06FF" w:rsidRPr="00DC478E" w14:paraId="5EA41CF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5B8C548" w14:textId="2558BA3C"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C75352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784AC0D"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93FD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r>
      <w:tr w:rsidR="004E06FF" w:rsidRPr="00DC478E" w14:paraId="76D90C6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F8DA9E" w14:textId="57ED601E"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DE7CE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E576"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w:t>
            </w:r>
            <w:r w:rsidRPr="00DC478E">
              <w:rPr>
                <w:rFonts w:ascii="Verdana" w:eastAsia="Times New Roman" w:hAnsi="Verdana" w:cs="Arial"/>
                <w:sz w:val="18"/>
                <w:szCs w:val="18"/>
                <w:lang w:val="en-US" w:eastAsia="da-DK"/>
              </w:rPr>
              <w:t xml:space="preserve">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7912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w:t>
            </w:r>
            <w:r>
              <w:rPr>
                <w:rFonts w:ascii="Verdana" w:eastAsia="Times New Roman" w:hAnsi="Verdana" w:cs="Arial"/>
                <w:sz w:val="18"/>
                <w:szCs w:val="18"/>
                <w:lang w:val="en-US" w:eastAsia="da-DK"/>
              </w:rPr>
              <w:t>5</w:t>
            </w:r>
            <w:r w:rsidRPr="00DC478E">
              <w:rPr>
                <w:rFonts w:ascii="Verdana" w:eastAsia="Times New Roman" w:hAnsi="Verdana" w:cs="Arial"/>
                <w:sz w:val="18"/>
                <w:szCs w:val="18"/>
                <w:lang w:val="en-US" w:eastAsia="da-DK"/>
              </w:rPr>
              <w:t xml:space="preserve"> pct.</w:t>
            </w:r>
          </w:p>
        </w:tc>
      </w:tr>
      <w:tr w:rsidR="004E06FF" w:rsidRPr="00DC478E" w14:paraId="396C914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FBD3623" w14:textId="488D545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8D2C6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9139B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4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r>
      <w:tr w:rsidR="004E06FF" w:rsidRPr="00DC478E" w14:paraId="75F35DC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50D250F" w14:textId="70E84CBD"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34537E00" w14:textId="77777777" w:rsidR="004E06FF" w:rsidRPr="00A90DD7"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w:t>
            </w:r>
            <w:r w:rsidRPr="00A90DD7">
              <w:rPr>
                <w:rFonts w:ascii="Verdana" w:eastAsia="Times New Roman" w:hAnsi="Verdana" w:cs="Arial"/>
                <w:color w:val="000000"/>
                <w:sz w:val="18"/>
                <w:szCs w:val="18"/>
                <w:lang w:val="en-US" w:eastAsia="da-DK"/>
              </w:rPr>
              <w:t>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159FC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EECE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3AF4DCC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62199A" w14:textId="1AD4DA09"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27CEF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F54C51"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D961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198AB96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C7B7DB" w14:textId="72BD49F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noWrap/>
            <w:vAlign w:val="bottom"/>
            <w:hideMark/>
          </w:tcPr>
          <w:p w14:paraId="2EE531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A575B8"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1CEE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63A258B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9F75D36" w14:textId="62CC23A8"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21BFD4A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4EFE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8F95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DC478E" w14:paraId="04B09A2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335E91" w14:textId="4C80DF7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25</w:t>
            </w:r>
            <w:r w:rsidR="000D073A">
              <w:rPr>
                <w:rFonts w:ascii="Verdana" w:eastAsia="Times New Roman" w:hAnsi="Verdana" w:cs="Arial"/>
                <w:sz w:val="18"/>
                <w:szCs w:val="18"/>
                <w:lang w:val="en-US" w:eastAsia="da-DK"/>
              </w:rPr>
              <w:t>1</w:t>
            </w:r>
          </w:p>
        </w:tc>
        <w:tc>
          <w:tcPr>
            <w:tcW w:w="5543" w:type="dxa"/>
            <w:tcBorders>
              <w:top w:val="nil"/>
              <w:left w:val="nil"/>
              <w:bottom w:val="single" w:sz="4" w:space="0" w:color="auto"/>
              <w:right w:val="single" w:sz="4" w:space="0" w:color="auto"/>
            </w:tcBorders>
            <w:shd w:val="clear" w:color="000000" w:fill="FFFFFF"/>
            <w:vAlign w:val="center"/>
            <w:hideMark/>
          </w:tcPr>
          <w:p w14:paraId="5BBFCF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89946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7BF3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F99CF44" w14:textId="77777777" w:rsidTr="00681D8C">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F703B25"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DC478E" w14:paraId="25D08E37" w14:textId="77777777" w:rsidTr="0068793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B1954A1" w14:textId="29C9AC83"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Central Bank</w:t>
            </w:r>
          </w:p>
        </w:tc>
      </w:tr>
      <w:tr w:rsidR="000D073A" w:rsidRPr="00DC478E" w14:paraId="45C2592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AEE43BC" w14:textId="133F9CBC"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31A95E90" w14:textId="2074EA2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 xml:space="preserve">Level 1 </w:t>
            </w:r>
            <w:proofErr w:type="spellStart"/>
            <w:r w:rsidRPr="00361CDE">
              <w:rPr>
                <w:rFonts w:ascii="Verdana" w:hAnsi="Verdana" w:cs="Arial"/>
                <w:color w:val="000000"/>
                <w:sz w:val="18"/>
                <w:szCs w:val="18"/>
              </w:rPr>
              <w:t>tradable</w:t>
            </w:r>
            <w:proofErr w:type="spellEnd"/>
            <w:r w:rsidRPr="00361CDE">
              <w:rPr>
                <w:rFonts w:ascii="Verdana" w:hAnsi="Verdana" w:cs="Arial"/>
                <w:color w:val="000000"/>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9D76EE" w14:textId="1052ABC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86047" w14:textId="21CDA2EB"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2905FB6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3B10402" w14:textId="66466B94"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08F389EF" w14:textId="4046F07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 xml:space="preserve">Level 2A </w:t>
            </w:r>
            <w:proofErr w:type="spellStart"/>
            <w:r w:rsidRPr="00361CDE">
              <w:rPr>
                <w:rFonts w:ascii="Verdana" w:hAnsi="Verdana" w:cs="Arial"/>
                <w:color w:val="000000"/>
                <w:sz w:val="18"/>
                <w:szCs w:val="18"/>
              </w:rPr>
              <w:t>tradable</w:t>
            </w:r>
            <w:proofErr w:type="spellEnd"/>
            <w:r w:rsidRPr="00361CDE">
              <w:rPr>
                <w:rFonts w:ascii="Verdana" w:hAnsi="Verdana" w:cs="Arial"/>
                <w:color w:val="000000"/>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FF5B10" w14:textId="2ED66002"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521FF" w14:textId="712DF6A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3228769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BA8EB3B" w14:textId="2AB0656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3A5507F5" w14:textId="7C8313EF"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sz w:val="18"/>
                <w:szCs w:val="18"/>
              </w:rPr>
              <w:t xml:space="preserve">Level 2B </w:t>
            </w:r>
            <w:proofErr w:type="spellStart"/>
            <w:r w:rsidRPr="00361CDE">
              <w:rPr>
                <w:rFonts w:ascii="Verdana" w:hAnsi="Verdana" w:cs="Arial"/>
                <w:sz w:val="18"/>
                <w:szCs w:val="18"/>
              </w:rPr>
              <w:t>tradable</w:t>
            </w:r>
            <w:proofErr w:type="spellEnd"/>
            <w:r w:rsidRPr="00361CDE">
              <w:rPr>
                <w:rFonts w:ascii="Verdana" w:hAnsi="Verdana" w:cs="Arial"/>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1F0D74" w14:textId="786361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417F9" w14:textId="1791F041"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19597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75F663C" w14:textId="4F4214C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31E1E350" w14:textId="6FEBE95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DA53E5" w14:textId="54BAA92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15E3E" w14:textId="17F9331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DB8CD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622F7D4" w14:textId="02EEE73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668A6E88" w14:textId="4864D952"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7BF5489" w14:textId="4E28AF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AF2A6" w14:textId="09D32EF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0C527C39" w14:textId="77777777" w:rsidTr="002A2A8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2550156B"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DC478E" w14:paraId="72AB2B9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6174C0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CB507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DA2B51"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C663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C856342"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BB5429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63C7530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C8D64F"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2795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4EF44CD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DA95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0C96BB6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9F88B4"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C1CA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FF981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D35D9D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65F1A90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EE2852"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D7CC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64B264C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1FCBC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17DCAB5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7A5F1BD"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79DE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4DA7ECE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AD07A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AFC907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3FA868"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C82F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r>
      <w:tr w:rsidR="000D073A" w:rsidRPr="00DC478E" w14:paraId="3F343E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38513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119018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01F939"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sidRPr="00DF3F88">
              <w:rPr>
                <w:rFonts w:ascii="Verdana" w:eastAsia="Times New Roman" w:hAnsi="Verdana" w:cs="Arial"/>
                <w:sz w:val="18"/>
                <w:szCs w:val="18"/>
                <w:lang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2EE14"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Pr>
                <w:rFonts w:ascii="Verdana" w:eastAsia="Times New Roman" w:hAnsi="Verdana" w:cs="Arial"/>
                <w:sz w:val="18"/>
                <w:szCs w:val="18"/>
                <w:lang w:eastAsia="da-DK"/>
              </w:rPr>
              <w:t>40 pct.</w:t>
            </w:r>
            <w:r w:rsidRPr="00DF3F88">
              <w:rPr>
                <w:rFonts w:ascii="Verdana" w:eastAsia="Times New Roman" w:hAnsi="Verdana" w:cs="Arial"/>
                <w:sz w:val="18"/>
                <w:szCs w:val="18"/>
                <w:lang w:eastAsia="da-DK"/>
              </w:rPr>
              <w:t> </w:t>
            </w:r>
          </w:p>
        </w:tc>
      </w:tr>
    </w:tbl>
    <w:p w14:paraId="523F0DD6" w14:textId="77777777" w:rsidR="004E06FF" w:rsidRPr="00DF3F88" w:rsidRDefault="004E06FF" w:rsidP="004E06FF"/>
    <w:p w14:paraId="5802B2E4" w14:textId="77777777" w:rsidR="004E06FF" w:rsidRDefault="004E06FF" w:rsidP="004E06FF">
      <w:r>
        <w:t xml:space="preserve">På t=3 er de </w:t>
      </w:r>
      <w:proofErr w:type="spellStart"/>
      <w:r>
        <w:t>udegående</w:t>
      </w:r>
      <w:proofErr w:type="spellEnd"/>
      <w:r>
        <w:t xml:space="preserve"> pengestrømme lig de </w:t>
      </w:r>
      <w:proofErr w:type="spellStart"/>
      <w:r>
        <w:t>udegående</w:t>
      </w:r>
      <w:proofErr w:type="spellEnd"/>
      <w:r>
        <w:t xml:space="preserve"> pengestrømme på t=2 plus summen af </w:t>
      </w:r>
      <w:proofErr w:type="spellStart"/>
      <w:r>
        <w:t>nedestående</w:t>
      </w:r>
      <w:proofErr w:type="spellEnd"/>
      <w:r>
        <w:t xml:space="preserve"> poster i C 66.00:</w:t>
      </w:r>
    </w:p>
    <w:tbl>
      <w:tblPr>
        <w:tblW w:w="9444" w:type="dxa"/>
        <w:tblCellMar>
          <w:left w:w="70" w:type="dxa"/>
          <w:right w:w="70" w:type="dxa"/>
        </w:tblCellMar>
        <w:tblLook w:val="04A0" w:firstRow="1" w:lastRow="0" w:firstColumn="1" w:lastColumn="0" w:noHBand="0" w:noVBand="1"/>
      </w:tblPr>
      <w:tblGrid>
        <w:gridCol w:w="826"/>
        <w:gridCol w:w="5543"/>
        <w:gridCol w:w="1560"/>
        <w:gridCol w:w="1515"/>
      </w:tblGrid>
      <w:tr w:rsidR="004E06FF" w:rsidRPr="00A91A19" w14:paraId="378DB13D" w14:textId="77777777" w:rsidTr="000D073A">
        <w:trPr>
          <w:gridAfter w:val="1"/>
          <w:wAfter w:w="1515" w:type="dxa"/>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A95C1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1DC7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E66CF" w14:paraId="0B23ACF2" w14:textId="77777777" w:rsidTr="000D073A">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1D54E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DAA1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Outflows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B288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hAnsi="Verdana" w:cs="Arial"/>
                <w:b/>
                <w:bCs/>
                <w:sz w:val="18"/>
                <w:szCs w:val="18"/>
                <w:lang w:val="en-US"/>
              </w:rPr>
              <w:t>Greater than 2 months up to 3 months</w:t>
            </w:r>
          </w:p>
        </w:tc>
      </w:tr>
      <w:tr w:rsidR="004E06FF" w:rsidRPr="00B776BE" w14:paraId="5A05D76D"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AE71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294898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proofErr w:type="spellStart"/>
            <w:r w:rsidRPr="00A91A19">
              <w:rPr>
                <w:rFonts w:ascii="Verdana" w:eastAsia="Times New Roman" w:hAnsi="Verdana" w:cs="Arial"/>
                <w:color w:val="000000"/>
                <w:sz w:val="18"/>
                <w:szCs w:val="18"/>
                <w:lang w:eastAsia="da-DK"/>
              </w:rPr>
              <w:t>unsecured</w:t>
            </w:r>
            <w:proofErr w:type="spellEnd"/>
            <w:r w:rsidRPr="00A91A19">
              <w:rPr>
                <w:rFonts w:ascii="Verdana" w:eastAsia="Times New Roman" w:hAnsi="Verdana" w:cs="Arial"/>
                <w:color w:val="000000"/>
                <w:sz w:val="18"/>
                <w:szCs w:val="18"/>
                <w:lang w:eastAsia="da-DK"/>
              </w:rPr>
              <w:t xml:space="preserve"> </w:t>
            </w:r>
            <w:proofErr w:type="spellStart"/>
            <w:r w:rsidRPr="00A91A19">
              <w:rPr>
                <w:rFonts w:ascii="Verdana" w:eastAsia="Times New Roman" w:hAnsi="Verdana" w:cs="Arial"/>
                <w:color w:val="000000"/>
                <w:sz w:val="18"/>
                <w:szCs w:val="18"/>
                <w:lang w:eastAsia="da-DK"/>
              </w:rPr>
              <w:t>bonds</w:t>
            </w:r>
            <w:proofErr w:type="spellEnd"/>
            <w:r w:rsidRPr="00A91A19">
              <w:rPr>
                <w:rFonts w:ascii="Verdana" w:eastAsia="Times New Roman" w:hAnsi="Verdana" w:cs="Arial"/>
                <w:color w:val="000000"/>
                <w:sz w:val="18"/>
                <w:szCs w:val="18"/>
                <w:lang w:eastAsia="da-DK"/>
              </w:rPr>
              <w:t xml:space="preserve"> due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00D2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552FD04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D26624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3494933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138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33 pct.</w:t>
            </w:r>
          </w:p>
        </w:tc>
      </w:tr>
      <w:tr w:rsidR="004E06FF" w:rsidRPr="00B776BE" w14:paraId="4485A62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655AB7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FA03A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A91A19">
              <w:rPr>
                <w:rFonts w:ascii="Verdana" w:eastAsia="Times New Roman" w:hAnsi="Verdana" w:cs="Arial"/>
                <w:color w:val="000000"/>
                <w:sz w:val="18"/>
                <w:szCs w:val="18"/>
                <w:lang w:val="en-US" w:eastAsia="da-DK"/>
              </w:rPr>
              <w:t>securitisations</w:t>
            </w:r>
            <w:proofErr w:type="spellEnd"/>
            <w:r w:rsidRPr="00A91A19">
              <w:rPr>
                <w:rFonts w:ascii="Verdana" w:eastAsia="Times New Roman" w:hAnsi="Verdana" w:cs="Arial"/>
                <w:color w:val="000000"/>
                <w:sz w:val="18"/>
                <w:szCs w:val="18"/>
                <w:lang w:val="en-US" w:eastAsia="da-DK"/>
              </w:rPr>
              <w:t xml:space="preserve"> due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1FE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1E12B1B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64388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7DB380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07E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0D073A" w:rsidRPr="00B776BE" w14:paraId="0E87CB72"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511ADC71" w14:textId="77777777" w:rsidR="000D073A" w:rsidRPr="00B776B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5E66CF" w14:paraId="4F7FC65A"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72A5EB3" w14:textId="09558454" w:rsidR="000D073A" w:rsidRPr="00B776BE"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non-Central Bank</w:t>
            </w:r>
          </w:p>
        </w:tc>
      </w:tr>
      <w:tr w:rsidR="004E06FF" w:rsidRPr="00B776BE" w14:paraId="6C50EBC6"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E380B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130</w:t>
            </w:r>
          </w:p>
        </w:tc>
        <w:tc>
          <w:tcPr>
            <w:tcW w:w="5543" w:type="dxa"/>
            <w:tcBorders>
              <w:top w:val="nil"/>
              <w:left w:val="nil"/>
              <w:bottom w:val="single" w:sz="4" w:space="0" w:color="auto"/>
              <w:right w:val="single" w:sz="4" w:space="0" w:color="auto"/>
            </w:tcBorders>
            <w:shd w:val="clear" w:color="000000" w:fill="FFFFFF"/>
            <w:vAlign w:val="center"/>
            <w:hideMark/>
          </w:tcPr>
          <w:p w14:paraId="57118D7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C2EE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1F57EB8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771F5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140</w:t>
            </w:r>
          </w:p>
        </w:tc>
        <w:tc>
          <w:tcPr>
            <w:tcW w:w="5543" w:type="dxa"/>
            <w:tcBorders>
              <w:top w:val="nil"/>
              <w:left w:val="nil"/>
              <w:bottom w:val="single" w:sz="4" w:space="0" w:color="auto"/>
              <w:right w:val="single" w:sz="4" w:space="0" w:color="auto"/>
            </w:tcBorders>
            <w:shd w:val="clear" w:color="000000" w:fill="FFFFFF"/>
            <w:vAlign w:val="center"/>
            <w:hideMark/>
          </w:tcPr>
          <w:p w14:paraId="69D7AF1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3F26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30596DF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AF29EA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190</w:t>
            </w:r>
          </w:p>
        </w:tc>
        <w:tc>
          <w:tcPr>
            <w:tcW w:w="5543" w:type="dxa"/>
            <w:tcBorders>
              <w:top w:val="nil"/>
              <w:left w:val="nil"/>
              <w:bottom w:val="single" w:sz="4" w:space="0" w:color="auto"/>
              <w:right w:val="single" w:sz="4" w:space="0" w:color="auto"/>
            </w:tcBorders>
            <w:shd w:val="clear" w:color="000000" w:fill="FFFFFF"/>
            <w:vAlign w:val="center"/>
            <w:hideMark/>
          </w:tcPr>
          <w:p w14:paraId="18BCA6D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92E7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0B6701CC"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1DB8C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200</w:t>
            </w:r>
          </w:p>
        </w:tc>
        <w:tc>
          <w:tcPr>
            <w:tcW w:w="5543" w:type="dxa"/>
            <w:tcBorders>
              <w:top w:val="nil"/>
              <w:left w:val="nil"/>
              <w:bottom w:val="single" w:sz="4" w:space="0" w:color="auto"/>
              <w:right w:val="single" w:sz="4" w:space="0" w:color="auto"/>
            </w:tcBorders>
            <w:shd w:val="clear" w:color="000000" w:fill="FFFFFF"/>
            <w:vAlign w:val="center"/>
            <w:hideMark/>
          </w:tcPr>
          <w:p w14:paraId="0E98658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AC1B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26F4B41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BCA0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210</w:t>
            </w:r>
          </w:p>
        </w:tc>
        <w:tc>
          <w:tcPr>
            <w:tcW w:w="5543" w:type="dxa"/>
            <w:tcBorders>
              <w:top w:val="nil"/>
              <w:left w:val="nil"/>
              <w:bottom w:val="single" w:sz="4" w:space="0" w:color="auto"/>
              <w:right w:val="single" w:sz="4" w:space="0" w:color="auto"/>
            </w:tcBorders>
            <w:shd w:val="clear" w:color="000000" w:fill="FFFFFF"/>
            <w:vAlign w:val="center"/>
            <w:hideMark/>
          </w:tcPr>
          <w:p w14:paraId="2476E9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5D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59756FA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ACE30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220</w:t>
            </w:r>
          </w:p>
        </w:tc>
        <w:tc>
          <w:tcPr>
            <w:tcW w:w="5543" w:type="dxa"/>
            <w:tcBorders>
              <w:top w:val="nil"/>
              <w:left w:val="nil"/>
              <w:bottom w:val="single" w:sz="4" w:space="0" w:color="auto"/>
              <w:right w:val="single" w:sz="4" w:space="0" w:color="auto"/>
            </w:tcBorders>
            <w:shd w:val="clear" w:color="000000" w:fill="FFFFFF"/>
            <w:vAlign w:val="center"/>
            <w:hideMark/>
          </w:tcPr>
          <w:p w14:paraId="478EED6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781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43293B7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495C4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230</w:t>
            </w:r>
          </w:p>
        </w:tc>
        <w:tc>
          <w:tcPr>
            <w:tcW w:w="5543" w:type="dxa"/>
            <w:tcBorders>
              <w:top w:val="nil"/>
              <w:left w:val="nil"/>
              <w:bottom w:val="single" w:sz="4" w:space="0" w:color="auto"/>
              <w:right w:val="single" w:sz="4" w:space="0" w:color="auto"/>
            </w:tcBorders>
            <w:shd w:val="clear" w:color="000000" w:fill="FFFFFF"/>
            <w:noWrap/>
            <w:vAlign w:val="bottom"/>
            <w:hideMark/>
          </w:tcPr>
          <w:p w14:paraId="5E658D8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3FC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4825FB3D" w14:textId="77777777" w:rsidTr="00361CDE">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FDA52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240</w:t>
            </w:r>
          </w:p>
        </w:tc>
        <w:tc>
          <w:tcPr>
            <w:tcW w:w="5543" w:type="dxa"/>
            <w:tcBorders>
              <w:top w:val="nil"/>
              <w:left w:val="nil"/>
              <w:bottom w:val="single" w:sz="4" w:space="0" w:color="auto"/>
              <w:right w:val="single" w:sz="4" w:space="0" w:color="auto"/>
            </w:tcBorders>
            <w:shd w:val="clear" w:color="000000" w:fill="FFFFFF"/>
            <w:vAlign w:val="center"/>
            <w:hideMark/>
          </w:tcPr>
          <w:p w14:paraId="159E49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503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25E8577A" w14:textId="77777777" w:rsidTr="00361CDE">
        <w:trPr>
          <w:gridAfter w:val="1"/>
          <w:wAfter w:w="1515" w:type="dxa"/>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42B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lastRenderedPageBreak/>
              <w:t>250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2A9A2DC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AF4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1AD8C9A5" w14:textId="77777777" w:rsidTr="00361CDE">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A5226BD"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single" w:sz="4" w:space="0" w:color="auto"/>
              <w:left w:val="nil"/>
              <w:bottom w:val="single" w:sz="4" w:space="0" w:color="auto"/>
              <w:right w:val="single" w:sz="4" w:space="0" w:color="auto"/>
            </w:tcBorders>
            <w:shd w:val="clear" w:color="000000" w:fill="FFFFFF"/>
            <w:vAlign w:val="center"/>
          </w:tcPr>
          <w:p w14:paraId="3CA52775"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E784A7" w14:textId="77777777" w:rsidR="000D073A"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7E418A" w14:paraId="14A5A29F" w14:textId="77777777" w:rsidTr="00C0403C">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A06DEFF" w14:textId="311F22AB" w:rsidR="000D073A"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Central Bank</w:t>
            </w:r>
          </w:p>
        </w:tc>
      </w:tr>
      <w:tr w:rsidR="000D073A" w:rsidRPr="007E418A" w14:paraId="248AD5E3" w14:textId="31794B7D"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BBF1059" w14:textId="7A9CA2B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7BE305A4" w14:textId="661B609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 xml:space="preserve">Level 1 </w:t>
            </w:r>
            <w:proofErr w:type="spellStart"/>
            <w:r w:rsidRPr="00171CB7">
              <w:rPr>
                <w:rFonts w:ascii="Verdana" w:hAnsi="Verdana" w:cs="Arial"/>
                <w:color w:val="000000"/>
                <w:sz w:val="18"/>
                <w:szCs w:val="18"/>
              </w:rPr>
              <w:t>tradable</w:t>
            </w:r>
            <w:proofErr w:type="spellEnd"/>
            <w:r w:rsidRPr="00171CB7">
              <w:rPr>
                <w:rFonts w:ascii="Verdana" w:hAnsi="Verdana" w:cs="Arial"/>
                <w:color w:val="000000"/>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C5738" w14:textId="43560C93"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1551B515" w14:textId="30231F3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7414EB0D" w14:textId="7D962510"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C416153" w14:textId="474E2E2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533F8A96" w14:textId="1D4DD76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 xml:space="preserve">Level 2A </w:t>
            </w:r>
            <w:proofErr w:type="spellStart"/>
            <w:r w:rsidRPr="00171CB7">
              <w:rPr>
                <w:rFonts w:ascii="Verdana" w:hAnsi="Verdana" w:cs="Arial"/>
                <w:color w:val="000000"/>
                <w:sz w:val="18"/>
                <w:szCs w:val="18"/>
              </w:rPr>
              <w:t>tradable</w:t>
            </w:r>
            <w:proofErr w:type="spellEnd"/>
            <w:r w:rsidRPr="00171CB7">
              <w:rPr>
                <w:rFonts w:ascii="Verdana" w:hAnsi="Verdana" w:cs="Arial"/>
                <w:color w:val="000000"/>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489BD" w14:textId="4E4E461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0418D273" w14:textId="4E70A51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2D630401" w14:textId="5BDDB12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B6B0C75" w14:textId="13C158BD"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04C9CEAE" w14:textId="7B75F61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sz w:val="18"/>
                <w:szCs w:val="18"/>
              </w:rPr>
              <w:t xml:space="preserve">Level 2B </w:t>
            </w:r>
            <w:proofErr w:type="spellStart"/>
            <w:r w:rsidRPr="00171CB7">
              <w:rPr>
                <w:rFonts w:ascii="Verdana" w:hAnsi="Verdana" w:cs="Arial"/>
                <w:sz w:val="18"/>
                <w:szCs w:val="18"/>
              </w:rPr>
              <w:t>tradable</w:t>
            </w:r>
            <w:proofErr w:type="spellEnd"/>
            <w:r w:rsidRPr="00171CB7">
              <w:rPr>
                <w:rFonts w:ascii="Verdana" w:hAnsi="Verdana" w:cs="Arial"/>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AAB86" w14:textId="776FC43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2E20406" w14:textId="527B559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455FA83" w14:textId="27FCE489"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A22269F" w14:textId="1DD8B283"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6B308DA8" w14:textId="1D4520B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75573" w14:textId="0004A6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2BD8238D" w14:textId="608ED4E6"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2D1DE99" w14:textId="1FA729FA"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0A0C3F10" w14:textId="4D89B4C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12DBF5B3" w14:textId="36EA4C0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D7FF0" w14:textId="557398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B022D1D" w14:textId="628A55F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44BE61DB" w14:textId="77777777" w:rsidTr="000D073A">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707F1701"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nil"/>
              <w:left w:val="nil"/>
              <w:bottom w:val="single" w:sz="4" w:space="0" w:color="auto"/>
              <w:right w:val="single" w:sz="4" w:space="0" w:color="auto"/>
            </w:tcBorders>
            <w:shd w:val="clear" w:color="000000" w:fill="FFFFFF"/>
            <w:vAlign w:val="center"/>
          </w:tcPr>
          <w:p w14:paraId="56A27A5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D75D7"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c>
          <w:tcPr>
            <w:tcW w:w="1515" w:type="dxa"/>
            <w:vAlign w:val="center"/>
          </w:tcPr>
          <w:p w14:paraId="7ADE7F16"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r>
      <w:tr w:rsidR="000D073A" w:rsidRPr="007E418A" w14:paraId="18B7CE7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D70AEC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EDB86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7EC0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284DA78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78B552"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57D101E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3B39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A91A19" w14:paraId="0952A87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620FA0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7A24AE6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40A7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A47FCD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3149A7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0877AA6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0974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53FE657"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BBCF18"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4E04C9B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C922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403CEDD0"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F7481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39258A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07A3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r w:rsidR="000D073A" w:rsidRPr="00A91A19" w14:paraId="41809D3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7C24F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41A41BB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DD4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bl>
    <w:p w14:paraId="7E1B6E0A" w14:textId="77777777" w:rsidR="004E06FF" w:rsidRPr="00DC478E" w:rsidRDefault="004E06FF" w:rsidP="004E06FF">
      <w:pPr>
        <w:rPr>
          <w:lang w:val="en-US"/>
        </w:rPr>
      </w:pPr>
    </w:p>
    <w:p w14:paraId="7D595E87" w14:textId="77777777" w:rsidR="004E06FF" w:rsidRPr="0091566B" w:rsidRDefault="004E06FF" w:rsidP="0091566B">
      <w:pPr>
        <w:rPr>
          <w:i/>
        </w:rPr>
      </w:pPr>
      <w:r w:rsidRPr="0091566B">
        <w:rPr>
          <w:i/>
        </w:rPr>
        <w:t>Ny indgående pengestrømme</w:t>
      </w:r>
    </w:p>
    <w:p w14:paraId="688C6CA2" w14:textId="77777777" w:rsidR="004E06FF" w:rsidRDefault="004E06FF" w:rsidP="004E06FF">
      <w:r>
        <w:t>For t=1 er de indgående pengestrømme lig C 74.00, r010, k140.</w:t>
      </w:r>
    </w:p>
    <w:p w14:paraId="6E306BF9" w14:textId="77777777" w:rsidR="004E06FF" w:rsidRDefault="004E06FF" w:rsidP="004E06FF"/>
    <w:p w14:paraId="52AB2997" w14:textId="77777777" w:rsidR="004E06FF" w:rsidRDefault="004E06FF" w:rsidP="004E06FF">
      <w:r>
        <w:t xml:space="preserve">For t=2 er de indgående pengestrømme lig C 74.00, r010, k140 plus summen af </w:t>
      </w:r>
      <w:proofErr w:type="spellStart"/>
      <w:r>
        <w:t>nedestående</w:t>
      </w:r>
      <w:proofErr w:type="spellEnd"/>
      <w:r>
        <w:t xml:space="preserve"> poster i C 66.00:</w:t>
      </w:r>
    </w:p>
    <w:tbl>
      <w:tblPr>
        <w:tblW w:w="7787" w:type="dxa"/>
        <w:tblCellMar>
          <w:left w:w="70" w:type="dxa"/>
          <w:right w:w="70" w:type="dxa"/>
        </w:tblCellMar>
        <w:tblLook w:val="04A0" w:firstRow="1" w:lastRow="0" w:firstColumn="1" w:lastColumn="0" w:noHBand="0" w:noVBand="1"/>
      </w:tblPr>
      <w:tblGrid>
        <w:gridCol w:w="826"/>
        <w:gridCol w:w="3842"/>
        <w:gridCol w:w="1559"/>
        <w:gridCol w:w="1560"/>
      </w:tblGrid>
      <w:tr w:rsidR="004E06FF" w:rsidRPr="00A91A19" w14:paraId="0D97B231" w14:textId="77777777" w:rsidTr="004E06FF">
        <w:trPr>
          <w:trHeight w:val="20"/>
        </w:trPr>
        <w:tc>
          <w:tcPr>
            <w:tcW w:w="4668"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0B6762B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1841FC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73A5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3</w:t>
            </w:r>
            <w:r w:rsidRPr="00A91A19">
              <w:rPr>
                <w:rFonts w:ascii="Verdana" w:eastAsia="Times New Roman" w:hAnsi="Verdana" w:cs="Arial"/>
                <w:b/>
                <w:sz w:val="18"/>
                <w:szCs w:val="18"/>
                <w:lang w:val="en-US" w:eastAsia="da-DK"/>
              </w:rPr>
              <w:t>0</w:t>
            </w:r>
          </w:p>
        </w:tc>
      </w:tr>
      <w:tr w:rsidR="004E06FF" w:rsidRPr="005E66CF" w14:paraId="74320B48"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F9BB3C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4CB90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406CF"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65F9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5</w:t>
            </w:r>
            <w:r w:rsidRPr="00A91A19">
              <w:rPr>
                <w:rFonts w:ascii="Verdana" w:hAnsi="Verdana" w:cs="Arial"/>
                <w:b/>
                <w:bCs/>
                <w:sz w:val="18"/>
                <w:szCs w:val="18"/>
                <w:lang w:val="en-US"/>
              </w:rPr>
              <w:t xml:space="preserve"> </w:t>
            </w:r>
            <w:r>
              <w:rPr>
                <w:rFonts w:ascii="Verdana" w:hAnsi="Verdana" w:cs="Arial"/>
                <w:b/>
                <w:bCs/>
                <w:sz w:val="18"/>
                <w:szCs w:val="18"/>
                <w:lang w:val="en-US"/>
              </w:rPr>
              <w:t>weeks up to 2</w:t>
            </w:r>
            <w:r w:rsidRPr="00A91A19">
              <w:rPr>
                <w:rFonts w:ascii="Verdana" w:hAnsi="Verdana" w:cs="Arial"/>
                <w:b/>
                <w:bCs/>
                <w:sz w:val="18"/>
                <w:szCs w:val="18"/>
                <w:lang w:val="en-US"/>
              </w:rPr>
              <w:t xml:space="preserve"> months</w:t>
            </w:r>
          </w:p>
        </w:tc>
      </w:tr>
      <w:tr w:rsidR="004E06FF" w:rsidRPr="00B776BE" w14:paraId="0881A7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E7B1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3842" w:type="dxa"/>
            <w:tcBorders>
              <w:top w:val="nil"/>
              <w:left w:val="nil"/>
              <w:bottom w:val="single" w:sz="4" w:space="0" w:color="auto"/>
              <w:right w:val="single" w:sz="4" w:space="0" w:color="auto"/>
            </w:tcBorders>
            <w:shd w:val="clear" w:color="000000" w:fill="FFFFFF"/>
            <w:vAlign w:val="center"/>
            <w:hideMark/>
          </w:tcPr>
          <w:p w14:paraId="599569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3F3328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58D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52E8B36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0F9C4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3842" w:type="dxa"/>
            <w:tcBorders>
              <w:top w:val="nil"/>
              <w:left w:val="nil"/>
              <w:bottom w:val="single" w:sz="4" w:space="0" w:color="auto"/>
              <w:right w:val="single" w:sz="4" w:space="0" w:color="auto"/>
            </w:tcBorders>
            <w:shd w:val="clear" w:color="000000" w:fill="FFFFFF"/>
            <w:vAlign w:val="center"/>
            <w:hideMark/>
          </w:tcPr>
          <w:p w14:paraId="38F7071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7D775C9"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E92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4A3FA84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7F7B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3842" w:type="dxa"/>
            <w:tcBorders>
              <w:top w:val="nil"/>
              <w:left w:val="nil"/>
              <w:bottom w:val="single" w:sz="4" w:space="0" w:color="auto"/>
              <w:right w:val="single" w:sz="4" w:space="0" w:color="auto"/>
            </w:tcBorders>
            <w:shd w:val="clear" w:color="000000" w:fill="FFFFFF"/>
            <w:vAlign w:val="center"/>
            <w:hideMark/>
          </w:tcPr>
          <w:p w14:paraId="322744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7FC45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B921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8518E2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7DA2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3842" w:type="dxa"/>
            <w:tcBorders>
              <w:top w:val="nil"/>
              <w:left w:val="nil"/>
              <w:bottom w:val="single" w:sz="4" w:space="0" w:color="auto"/>
              <w:right w:val="single" w:sz="4" w:space="0" w:color="auto"/>
            </w:tcBorders>
            <w:shd w:val="clear" w:color="000000" w:fill="FFFFFF"/>
            <w:vAlign w:val="center"/>
            <w:hideMark/>
          </w:tcPr>
          <w:p w14:paraId="1EE8D7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A5A7BC"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0CC7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1BFC26E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C872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3842" w:type="dxa"/>
            <w:tcBorders>
              <w:top w:val="nil"/>
              <w:left w:val="nil"/>
              <w:bottom w:val="single" w:sz="4" w:space="0" w:color="auto"/>
              <w:right w:val="single" w:sz="4" w:space="0" w:color="auto"/>
            </w:tcBorders>
            <w:shd w:val="clear" w:color="000000" w:fill="FFFFFF"/>
            <w:vAlign w:val="center"/>
            <w:hideMark/>
          </w:tcPr>
          <w:p w14:paraId="53DB63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7D1308"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FEB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3095B43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36E5F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3842" w:type="dxa"/>
            <w:tcBorders>
              <w:top w:val="nil"/>
              <w:left w:val="nil"/>
              <w:bottom w:val="single" w:sz="4" w:space="0" w:color="auto"/>
              <w:right w:val="single" w:sz="4" w:space="0" w:color="auto"/>
            </w:tcBorders>
            <w:shd w:val="clear" w:color="000000" w:fill="FFFFFF"/>
            <w:vAlign w:val="center"/>
            <w:hideMark/>
          </w:tcPr>
          <w:p w14:paraId="2C4F2F0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CB673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2D2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6DD6B04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A2F4EC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3842" w:type="dxa"/>
            <w:tcBorders>
              <w:top w:val="nil"/>
              <w:left w:val="nil"/>
              <w:bottom w:val="single" w:sz="4" w:space="0" w:color="auto"/>
              <w:right w:val="single" w:sz="4" w:space="0" w:color="auto"/>
            </w:tcBorders>
            <w:shd w:val="clear" w:color="000000" w:fill="FFFFFF"/>
            <w:noWrap/>
            <w:vAlign w:val="bottom"/>
            <w:hideMark/>
          </w:tcPr>
          <w:p w14:paraId="03EE66B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E6368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74C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205804B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0350BE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3842" w:type="dxa"/>
            <w:tcBorders>
              <w:top w:val="nil"/>
              <w:left w:val="nil"/>
              <w:bottom w:val="single" w:sz="4" w:space="0" w:color="auto"/>
              <w:right w:val="single" w:sz="4" w:space="0" w:color="auto"/>
            </w:tcBorders>
            <w:shd w:val="clear" w:color="000000" w:fill="FFFFFF"/>
            <w:vAlign w:val="center"/>
            <w:hideMark/>
          </w:tcPr>
          <w:p w14:paraId="6E175A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EDB985"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2D16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49AFE6F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BBA49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580</w:t>
            </w:r>
          </w:p>
        </w:tc>
        <w:tc>
          <w:tcPr>
            <w:tcW w:w="3842" w:type="dxa"/>
            <w:tcBorders>
              <w:top w:val="nil"/>
              <w:left w:val="nil"/>
              <w:bottom w:val="single" w:sz="4" w:space="0" w:color="auto"/>
              <w:right w:val="single" w:sz="4" w:space="0" w:color="auto"/>
            </w:tcBorders>
            <w:shd w:val="clear" w:color="000000" w:fill="FFFFFF"/>
            <w:vAlign w:val="center"/>
            <w:hideMark/>
          </w:tcPr>
          <w:p w14:paraId="649476F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A4C4DD"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111A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5AFE62E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3BCE9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620</w:t>
            </w:r>
          </w:p>
        </w:tc>
        <w:tc>
          <w:tcPr>
            <w:tcW w:w="3842" w:type="dxa"/>
            <w:tcBorders>
              <w:top w:val="nil"/>
              <w:left w:val="nil"/>
              <w:bottom w:val="single" w:sz="4" w:space="0" w:color="auto"/>
              <w:right w:val="single" w:sz="4" w:space="0" w:color="auto"/>
            </w:tcBorders>
            <w:shd w:val="clear" w:color="000000" w:fill="FFFFFF"/>
            <w:vAlign w:val="center"/>
            <w:hideMark/>
          </w:tcPr>
          <w:p w14:paraId="1D7197A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credit institutions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D3B40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DC8D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4E528AA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C2420D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630</w:t>
            </w:r>
          </w:p>
        </w:tc>
        <w:tc>
          <w:tcPr>
            <w:tcW w:w="3842" w:type="dxa"/>
            <w:tcBorders>
              <w:top w:val="nil"/>
              <w:left w:val="nil"/>
              <w:bottom w:val="single" w:sz="4" w:space="0" w:color="auto"/>
              <w:right w:val="single" w:sz="4" w:space="0" w:color="auto"/>
            </w:tcBorders>
            <w:shd w:val="clear" w:color="000000" w:fill="FFFFFF"/>
            <w:vAlign w:val="center"/>
            <w:hideMark/>
          </w:tcPr>
          <w:p w14:paraId="410D90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7DE1C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BC85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3B51B09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F9DED9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640</w:t>
            </w:r>
          </w:p>
        </w:tc>
        <w:tc>
          <w:tcPr>
            <w:tcW w:w="3842" w:type="dxa"/>
            <w:tcBorders>
              <w:top w:val="nil"/>
              <w:left w:val="nil"/>
              <w:bottom w:val="single" w:sz="4" w:space="0" w:color="auto"/>
              <w:right w:val="single" w:sz="4" w:space="0" w:color="auto"/>
            </w:tcBorders>
            <w:shd w:val="clear" w:color="000000" w:fill="FFFFFF"/>
            <w:vAlign w:val="center"/>
            <w:hideMark/>
          </w:tcPr>
          <w:p w14:paraId="78B10A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AFF1773"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36F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47F1A83E" w14:textId="77777777" w:rsidR="004E06FF" w:rsidRPr="00651996" w:rsidRDefault="004E06FF" w:rsidP="004E06FF"/>
    <w:p w14:paraId="1CD01C41" w14:textId="77777777" w:rsidR="004E06FF" w:rsidRDefault="004E06FF" w:rsidP="004E06FF">
      <w:r>
        <w:t xml:space="preserve">På t=3 er de indgående pengestrømme lig de indgående pengestrømme på t=2 plus summen af </w:t>
      </w:r>
      <w:proofErr w:type="spellStart"/>
      <w:r>
        <w:t>nedestående</w:t>
      </w:r>
      <w:proofErr w:type="spellEnd"/>
      <w:r>
        <w:t xml:space="preserve"> poster i C 66.00:</w:t>
      </w:r>
    </w:p>
    <w:tbl>
      <w:tblPr>
        <w:tblW w:w="7929" w:type="dxa"/>
        <w:tblCellMar>
          <w:left w:w="70" w:type="dxa"/>
          <w:right w:w="70" w:type="dxa"/>
        </w:tblCellMar>
        <w:tblLook w:val="04A0" w:firstRow="1" w:lastRow="0" w:firstColumn="1" w:lastColumn="0" w:noHBand="0" w:noVBand="1"/>
      </w:tblPr>
      <w:tblGrid>
        <w:gridCol w:w="826"/>
        <w:gridCol w:w="5543"/>
        <w:gridCol w:w="1560"/>
      </w:tblGrid>
      <w:tr w:rsidR="004E06FF" w:rsidRPr="00A91A19" w14:paraId="307665F9"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6D8B9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481C6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E66CF" w14:paraId="0E984883"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932D1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CD5D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596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2 months up to 3</w:t>
            </w:r>
            <w:r w:rsidRPr="00A91A19">
              <w:rPr>
                <w:rFonts w:ascii="Verdana" w:hAnsi="Verdana" w:cs="Arial"/>
                <w:b/>
                <w:bCs/>
                <w:sz w:val="18"/>
                <w:szCs w:val="18"/>
                <w:lang w:val="en-US"/>
              </w:rPr>
              <w:t xml:space="preserve"> months</w:t>
            </w:r>
          </w:p>
        </w:tc>
      </w:tr>
      <w:tr w:rsidR="004E06FF" w:rsidRPr="00B776BE" w14:paraId="7E74D8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32281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5543" w:type="dxa"/>
            <w:tcBorders>
              <w:top w:val="nil"/>
              <w:left w:val="nil"/>
              <w:bottom w:val="single" w:sz="4" w:space="0" w:color="auto"/>
              <w:right w:val="single" w:sz="4" w:space="0" w:color="auto"/>
            </w:tcBorders>
            <w:shd w:val="clear" w:color="000000" w:fill="FFFFFF"/>
            <w:vAlign w:val="center"/>
            <w:hideMark/>
          </w:tcPr>
          <w:p w14:paraId="5DD13F1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E1DA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68F850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39333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5543" w:type="dxa"/>
            <w:tcBorders>
              <w:top w:val="nil"/>
              <w:left w:val="nil"/>
              <w:bottom w:val="single" w:sz="4" w:space="0" w:color="auto"/>
              <w:right w:val="single" w:sz="4" w:space="0" w:color="auto"/>
            </w:tcBorders>
            <w:shd w:val="clear" w:color="000000" w:fill="FFFFFF"/>
            <w:vAlign w:val="center"/>
            <w:hideMark/>
          </w:tcPr>
          <w:p w14:paraId="2118E4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B06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083F3D1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92B7CA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5543" w:type="dxa"/>
            <w:tcBorders>
              <w:top w:val="nil"/>
              <w:left w:val="nil"/>
              <w:bottom w:val="single" w:sz="4" w:space="0" w:color="auto"/>
              <w:right w:val="single" w:sz="4" w:space="0" w:color="auto"/>
            </w:tcBorders>
            <w:shd w:val="clear" w:color="000000" w:fill="FFFFFF"/>
            <w:vAlign w:val="center"/>
            <w:hideMark/>
          </w:tcPr>
          <w:p w14:paraId="345A88A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7B6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53DE2B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D1750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5543" w:type="dxa"/>
            <w:tcBorders>
              <w:top w:val="nil"/>
              <w:left w:val="nil"/>
              <w:bottom w:val="single" w:sz="4" w:space="0" w:color="auto"/>
              <w:right w:val="single" w:sz="4" w:space="0" w:color="auto"/>
            </w:tcBorders>
            <w:shd w:val="clear" w:color="000000" w:fill="FFFFFF"/>
            <w:vAlign w:val="center"/>
            <w:hideMark/>
          </w:tcPr>
          <w:p w14:paraId="027FEF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0A7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022871FA"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2EE6B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5543" w:type="dxa"/>
            <w:tcBorders>
              <w:top w:val="nil"/>
              <w:left w:val="nil"/>
              <w:bottom w:val="single" w:sz="4" w:space="0" w:color="auto"/>
              <w:right w:val="single" w:sz="4" w:space="0" w:color="auto"/>
            </w:tcBorders>
            <w:shd w:val="clear" w:color="000000" w:fill="FFFFFF"/>
            <w:vAlign w:val="center"/>
            <w:hideMark/>
          </w:tcPr>
          <w:p w14:paraId="0C5573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BA5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0171D5C5"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4A93C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5543" w:type="dxa"/>
            <w:tcBorders>
              <w:top w:val="nil"/>
              <w:left w:val="nil"/>
              <w:bottom w:val="single" w:sz="4" w:space="0" w:color="auto"/>
              <w:right w:val="single" w:sz="4" w:space="0" w:color="auto"/>
            </w:tcBorders>
            <w:shd w:val="clear" w:color="000000" w:fill="FFFFFF"/>
            <w:vAlign w:val="center"/>
            <w:hideMark/>
          </w:tcPr>
          <w:p w14:paraId="4B78E7B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775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5794883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28A9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5543" w:type="dxa"/>
            <w:tcBorders>
              <w:top w:val="nil"/>
              <w:left w:val="nil"/>
              <w:bottom w:val="single" w:sz="4" w:space="0" w:color="auto"/>
              <w:right w:val="single" w:sz="4" w:space="0" w:color="auto"/>
            </w:tcBorders>
            <w:shd w:val="clear" w:color="000000" w:fill="FFFFFF"/>
            <w:noWrap/>
            <w:vAlign w:val="bottom"/>
            <w:hideMark/>
          </w:tcPr>
          <w:p w14:paraId="532C444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574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6BD498F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83B1ED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5543" w:type="dxa"/>
            <w:tcBorders>
              <w:top w:val="nil"/>
              <w:left w:val="nil"/>
              <w:bottom w:val="single" w:sz="4" w:space="0" w:color="auto"/>
              <w:right w:val="single" w:sz="4" w:space="0" w:color="auto"/>
            </w:tcBorders>
            <w:shd w:val="clear" w:color="000000" w:fill="FFFFFF"/>
            <w:vAlign w:val="center"/>
            <w:hideMark/>
          </w:tcPr>
          <w:p w14:paraId="0F1A1A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8AEB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73FCE0E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5FD5C4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580</w:t>
            </w:r>
          </w:p>
        </w:tc>
        <w:tc>
          <w:tcPr>
            <w:tcW w:w="5543" w:type="dxa"/>
            <w:tcBorders>
              <w:top w:val="nil"/>
              <w:left w:val="nil"/>
              <w:bottom w:val="single" w:sz="4" w:space="0" w:color="auto"/>
              <w:right w:val="single" w:sz="4" w:space="0" w:color="auto"/>
            </w:tcBorders>
            <w:shd w:val="clear" w:color="000000" w:fill="FFFFFF"/>
            <w:vAlign w:val="center"/>
            <w:hideMark/>
          </w:tcPr>
          <w:p w14:paraId="73CAD9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E9F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5B0BEA9D"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74CE52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620</w:t>
            </w:r>
          </w:p>
        </w:tc>
        <w:tc>
          <w:tcPr>
            <w:tcW w:w="5543" w:type="dxa"/>
            <w:tcBorders>
              <w:top w:val="nil"/>
              <w:left w:val="nil"/>
              <w:bottom w:val="single" w:sz="4" w:space="0" w:color="auto"/>
              <w:right w:val="single" w:sz="4" w:space="0" w:color="auto"/>
            </w:tcBorders>
            <w:shd w:val="clear" w:color="000000" w:fill="FFFFFF"/>
            <w:vAlign w:val="center"/>
            <w:hideMark/>
          </w:tcPr>
          <w:p w14:paraId="6C00882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651996">
              <w:rPr>
                <w:rFonts w:ascii="Verdana" w:hAnsi="Verdana" w:cs="Arial"/>
                <w:color w:val="000000"/>
                <w:sz w:val="18"/>
                <w:szCs w:val="18"/>
              </w:rPr>
              <w:t>credit</w:t>
            </w:r>
            <w:proofErr w:type="spellEnd"/>
            <w:r w:rsidRPr="00651996">
              <w:rPr>
                <w:rFonts w:ascii="Verdana" w:hAnsi="Verdana" w:cs="Arial"/>
                <w:color w:val="000000"/>
                <w:sz w:val="18"/>
                <w:szCs w:val="18"/>
              </w:rPr>
              <w:t xml:space="preserve"> institutions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3F85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5F85E68B" w14:textId="7777777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334795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630</w:t>
            </w:r>
          </w:p>
        </w:tc>
        <w:tc>
          <w:tcPr>
            <w:tcW w:w="5543" w:type="dxa"/>
            <w:tcBorders>
              <w:top w:val="nil"/>
              <w:left w:val="nil"/>
              <w:bottom w:val="single" w:sz="4" w:space="0" w:color="auto"/>
              <w:right w:val="single" w:sz="4" w:space="0" w:color="auto"/>
            </w:tcBorders>
            <w:shd w:val="clear" w:color="000000" w:fill="FFFFFF"/>
            <w:vAlign w:val="center"/>
            <w:hideMark/>
          </w:tcPr>
          <w:p w14:paraId="3F20564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651996">
              <w:rPr>
                <w:rFonts w:ascii="Verdana" w:hAnsi="Verdana" w:cs="Arial"/>
                <w:color w:val="000000"/>
                <w:sz w:val="18"/>
                <w:szCs w:val="18"/>
              </w:rPr>
              <w:t>other</w:t>
            </w:r>
            <w:proofErr w:type="spellEnd"/>
            <w:r w:rsidRPr="00651996">
              <w:rPr>
                <w:rFonts w:ascii="Verdana" w:hAnsi="Verdana" w:cs="Arial"/>
                <w:color w:val="000000"/>
                <w:sz w:val="18"/>
                <w:szCs w:val="18"/>
              </w:rPr>
              <w:t xml:space="preserve"> </w:t>
            </w:r>
            <w:proofErr w:type="spellStart"/>
            <w:r w:rsidRPr="00651996">
              <w:rPr>
                <w:rFonts w:ascii="Verdana" w:hAnsi="Verdana" w:cs="Arial"/>
                <w:color w:val="000000"/>
                <w:sz w:val="18"/>
                <w:szCs w:val="18"/>
              </w:rPr>
              <w:t>financial</w:t>
            </w:r>
            <w:proofErr w:type="spellEnd"/>
            <w:r w:rsidRPr="00651996">
              <w:rPr>
                <w:rFonts w:ascii="Verdana" w:hAnsi="Verdana" w:cs="Arial"/>
                <w:color w:val="000000"/>
                <w:sz w:val="18"/>
                <w:szCs w:val="18"/>
              </w:rPr>
              <w:t xml:space="preserve"> </w:t>
            </w:r>
            <w:proofErr w:type="spellStart"/>
            <w:r w:rsidRPr="00651996">
              <w:rPr>
                <w:rFonts w:ascii="Verdana" w:hAnsi="Verdana" w:cs="Arial"/>
                <w:color w:val="000000"/>
                <w:sz w:val="18"/>
                <w:szCs w:val="18"/>
              </w:rPr>
              <w:t>customers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9A6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4EEA9499" w14:textId="77777777" w:rsidTr="00361CDE">
        <w:trPr>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A5E0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lastRenderedPageBreak/>
              <w:t>640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702706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98D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18539ED5" w14:textId="34BDC271" w:rsidR="004E06FF" w:rsidRDefault="004E06FF" w:rsidP="002E00B6"/>
    <w:p w14:paraId="708565FF" w14:textId="210C0C88" w:rsidR="004E5288" w:rsidRDefault="004E5288" w:rsidP="004E5288">
      <w:pPr>
        <w:pStyle w:val="Overskrift2"/>
      </w:pPr>
      <w:bookmarkStart w:id="40" w:name="_Toc141862548"/>
      <w:r>
        <w:t xml:space="preserve">Offentliggørelsesforpligtelser </w:t>
      </w:r>
      <w:r w:rsidR="00573CF7">
        <w:t xml:space="preserve">for færøske pengeinstitutter og Grønlandsbanken i </w:t>
      </w:r>
      <w:r>
        <w:t>forbindelse med tilsynsdiamanten</w:t>
      </w:r>
      <w:bookmarkEnd w:id="40"/>
    </w:p>
    <w:p w14:paraId="703C5088" w14:textId="4839426E" w:rsidR="004E5288" w:rsidRPr="00DA4D97" w:rsidRDefault="004E5288" w:rsidP="004E5288">
      <w:pPr>
        <w:pStyle w:val="Listeafsnit"/>
      </w:pPr>
      <w:r>
        <w:t xml:space="preserve">Færøske pengeinstitutter og Grønlandsbanken skal offentliggøre nøgletalsværdier på de fire pejlemærker i forbindelse med årsrapporten og halvårsrapporten, jf. </w:t>
      </w:r>
      <w:r w:rsidRPr="006E7EBB">
        <w:t>§ 132b til bekendtgørelse om finansielle rapporter for kreditinstitutter og fondsmæglerselskaber m.fl.</w:t>
      </w:r>
    </w:p>
    <w:p w14:paraId="57705CDA" w14:textId="24CABFA1" w:rsidR="003B3FA3" w:rsidRDefault="003B3FA3" w:rsidP="004E5288">
      <w:pPr>
        <w:pStyle w:val="Overskrift2"/>
      </w:pPr>
    </w:p>
    <w:p w14:paraId="11263AA4" w14:textId="6F0B385B" w:rsidR="003B3FA3" w:rsidRDefault="003B3FA3"/>
    <w:p w14:paraId="1C7DDB32" w14:textId="77777777" w:rsidR="003B3FA3" w:rsidRPr="003B3FA3" w:rsidRDefault="003B3FA3"/>
    <w:p w14:paraId="472FF585" w14:textId="77777777" w:rsidR="003B3FA3" w:rsidRPr="004E06FF" w:rsidRDefault="003B3FA3" w:rsidP="002E00B6"/>
    <w:sectPr w:rsidR="003B3FA3" w:rsidRPr="004E06FF" w:rsidSect="00E4060D">
      <w:footerReference w:type="default" r:id="rId20"/>
      <w:endnotePr>
        <w:numFmt w:val="decimal"/>
        <w:numStart w:val="12"/>
      </w:endnotePr>
      <w:type w:val="continuous"/>
      <w:pgSz w:w="11906" w:h="16838"/>
      <w:pgMar w:top="1701" w:right="1701" w:bottom="170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016B" w14:textId="77777777" w:rsidR="00081504" w:rsidRDefault="00081504" w:rsidP="001850B3">
      <w:r>
        <w:separator/>
      </w:r>
    </w:p>
  </w:endnote>
  <w:endnote w:type="continuationSeparator" w:id="0">
    <w:p w14:paraId="1E7D604C" w14:textId="77777777" w:rsidR="00081504" w:rsidRDefault="00081504" w:rsidP="001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A82" w14:textId="77777777" w:rsidR="00B820B4" w:rsidRDefault="00B820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A423" w14:textId="77777777" w:rsidR="00B820B4" w:rsidRDefault="00B820B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167C" w14:textId="77777777" w:rsidR="00B820B4" w:rsidRDefault="00B820B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BA06" w14:textId="7B91BE86" w:rsidR="00B820B4" w:rsidRPr="00406B63" w:rsidRDefault="00B820B4" w:rsidP="00C86E9F">
    <w:pPr>
      <w:pStyle w:val="Sidefod"/>
      <w:jc w:val="right"/>
    </w:pPr>
    <w:r>
      <w:tab/>
      <w:t xml:space="preserve">      </w:t>
    </w:r>
    <w:r>
      <w:tab/>
    </w:r>
    <w:r>
      <w:tab/>
    </w:r>
    <w:r>
      <w:tab/>
    </w:r>
    <w:r>
      <w:tab/>
    </w:r>
    <w:r w:rsidRPr="00406B63">
      <w:tab/>
    </w:r>
    <w:r>
      <w:fldChar w:fldCharType="begin"/>
    </w:r>
    <w:r>
      <w:instrText xml:space="preserve"> PAGE   \* MERGEFORMAT </w:instrText>
    </w:r>
    <w:r>
      <w:fldChar w:fldCharType="separate"/>
    </w:r>
    <w:r w:rsidR="002D68C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3F11" w14:textId="77777777" w:rsidR="00081504" w:rsidRDefault="00081504" w:rsidP="001850B3">
      <w:r>
        <w:separator/>
      </w:r>
    </w:p>
  </w:footnote>
  <w:footnote w:type="continuationSeparator" w:id="0">
    <w:p w14:paraId="5E37A058" w14:textId="77777777" w:rsidR="00081504" w:rsidRDefault="00081504" w:rsidP="001850B3">
      <w:r>
        <w:continuationSeparator/>
      </w:r>
    </w:p>
  </w:footnote>
  <w:footnote w:id="1">
    <w:p w14:paraId="54CD6C3B" w14:textId="2587D337" w:rsidR="001C1EA2" w:rsidRDefault="001C1EA2">
      <w:pPr>
        <w:pStyle w:val="Fodnotetekst"/>
      </w:pPr>
      <w:r>
        <w:rPr>
          <w:rStyle w:val="Fodnotehenvisning"/>
        </w:rPr>
        <w:footnoteRef/>
      </w:r>
      <w:r>
        <w:t xml:space="preserve"> Tilsynsdiamanten gælder for Færøerne og Grønland fra hhv. 1. juni og 1. juli</w:t>
      </w:r>
      <w:r w:rsidR="004E145D">
        <w:t xml:space="preserve">. Det forhold skyldes, at Net Stable Funding Ratio (NSFR) træder i kraft for Færøerne og Grønland på de nævnte datoer. Det medfører, at færøske institutter og Grønlandbanken ikke længere skal opgøre og overholde </w:t>
      </w:r>
      <w:proofErr w:type="spellStart"/>
      <w:r w:rsidR="004E145D">
        <w:t>funding</w:t>
      </w:r>
      <w:proofErr w:type="spellEnd"/>
      <w:r w:rsidR="004E145D">
        <w:t xml:space="preserve"> ratio</w:t>
      </w:r>
      <w:r w:rsidR="00522B67">
        <w:t>-</w:t>
      </w:r>
      <w:r w:rsidR="004E145D">
        <w:t>pejlemærket.</w:t>
      </w:r>
    </w:p>
  </w:footnote>
  <w:footnote w:id="2">
    <w:p w14:paraId="7BA050FD" w14:textId="77777777" w:rsidR="00B820B4" w:rsidRDefault="00B820B4" w:rsidP="006A7342">
      <w:pPr>
        <w:pStyle w:val="Fodnotetekst"/>
      </w:pPr>
      <w:r>
        <w:rPr>
          <w:rStyle w:val="Fodnotehenvisning"/>
        </w:rPr>
        <w:footnoteRef/>
      </w:r>
      <w:r>
        <w:t xml:space="preserve"> </w:t>
      </w:r>
      <w:proofErr w:type="spellStart"/>
      <w:r>
        <w:t>Europaparlamentets</w:t>
      </w:r>
      <w:proofErr w:type="spellEnd"/>
      <w:r>
        <w:t xml:space="preserve"> og Rådets forordning (EU) nr. 575/2013 af 26. juni 2013 om tilsynsmæssige krav til kreditinstitutter. CRR, fjerde del, artikel 387-403, adresserer store eksponeringer. Beregning af eksponeringers størrelse følger af artikel 390. Begrænsninger for store eksponeringer følger af artikel 395, anerkendelse af kreditrisikoreduktionsteknikker følger af artikel 399, undtagelser følger af artikel 400 etc.</w:t>
      </w:r>
    </w:p>
  </w:footnote>
  <w:footnote w:id="3">
    <w:p w14:paraId="504FF4B8" w14:textId="0D647E3D" w:rsidR="00B820B4" w:rsidRPr="00305FE6" w:rsidRDefault="00B820B4" w:rsidP="00E0619A">
      <w:pPr>
        <w:pStyle w:val="Fodnotetekst"/>
        <w:rPr>
          <w:rFonts w:cs="Arial"/>
          <w:szCs w:val="16"/>
        </w:rPr>
      </w:pPr>
      <w:r w:rsidRPr="00305FE6">
        <w:rPr>
          <w:rStyle w:val="Fodnotehenvisning"/>
          <w:rFonts w:cs="Arial"/>
          <w:szCs w:val="16"/>
        </w:rPr>
        <w:footnoteRef/>
      </w:r>
      <w:r w:rsidRPr="00305FE6">
        <w:rPr>
          <w:rFonts w:cs="Arial"/>
          <w:szCs w:val="16"/>
        </w:rPr>
        <w:t xml:space="preserve"> </w:t>
      </w:r>
      <w:r w:rsidR="002B20A1">
        <w:rPr>
          <w:rFonts w:cs="Arial"/>
          <w:szCs w:val="16"/>
        </w:rPr>
        <w:t xml:space="preserve">Branchekoder 68.xx.xx i DB25, under det gamle </w:t>
      </w:r>
      <w:proofErr w:type="spellStart"/>
      <w:r w:rsidR="002B20A1">
        <w:rPr>
          <w:rFonts w:cs="Arial"/>
          <w:szCs w:val="16"/>
        </w:rPr>
        <w:t>branchesysttem</w:t>
      </w:r>
      <w:proofErr w:type="spellEnd"/>
      <w:r w:rsidR="002B20A1">
        <w:rPr>
          <w:rFonts w:cs="Arial"/>
          <w:szCs w:val="16"/>
        </w:rPr>
        <w:t xml:space="preserve"> (DB07) omfattede pejlemærket også branchen ’gennemførsel af byggeprojekter under ’bygge og </w:t>
      </w:r>
      <w:proofErr w:type="spellStart"/>
      <w:r w:rsidR="002B20A1">
        <w:rPr>
          <w:rFonts w:cs="Arial"/>
          <w:szCs w:val="16"/>
        </w:rPr>
        <w:t>anglæg</w:t>
      </w:r>
      <w:proofErr w:type="spellEnd"/>
      <w:r w:rsidR="002B20A1">
        <w:rPr>
          <w:rFonts w:cs="Arial"/>
          <w:szCs w:val="16"/>
        </w:rPr>
        <w:t>’, der nu er omfattet under ’fast ejendom’ i DB25</w:t>
      </w:r>
      <w:r w:rsidRPr="00305FE6">
        <w:rPr>
          <w:rFonts w:cs="Arial"/>
          <w:szCs w:val="16"/>
        </w:rPr>
        <w:t>.</w:t>
      </w:r>
    </w:p>
  </w:footnote>
  <w:footnote w:id="4">
    <w:p w14:paraId="63BD1BFC" w14:textId="019616D8" w:rsidR="00B820B4" w:rsidRDefault="00B820B4" w:rsidP="00C671B6">
      <w:pPr>
        <w:pStyle w:val="Fodnotetekst"/>
      </w:pPr>
      <w:r>
        <w:rPr>
          <w:rStyle w:val="Fodnotehenvisning"/>
        </w:rPr>
        <w:footnoteRef/>
      </w:r>
      <w:r>
        <w:t xml:space="preserve"> Jf. artikel 4 i Kommissionens delegerede forordning (EU) 2015/61 af 10. oktober 2014 om supplerende regler til forordning (EU) nr. 575/2013 for så vidt angår likviditetsdækningskrav for kreditinstitutter.</w:t>
      </w:r>
    </w:p>
  </w:footnote>
  <w:footnote w:id="5">
    <w:p w14:paraId="266C0598" w14:textId="77777777" w:rsidR="00B820B4" w:rsidRDefault="00B820B4" w:rsidP="00981BFE">
      <w:pPr>
        <w:pStyle w:val="Fodnotetekst"/>
      </w:pPr>
      <w:r>
        <w:rPr>
          <w:rStyle w:val="Fodnotehenvisning"/>
        </w:rPr>
        <w:footnoteRef/>
      </w:r>
      <w:r>
        <w:t xml:space="preserve"> Bekendtgørelse om finansielle virksomheders og investeringsforeningers m.v. pligt til at offentliggøre Finanstilsynets vurdering af virksomheden og investeringsforeningen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680" w14:textId="77777777" w:rsidR="00B820B4" w:rsidRDefault="00B820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7B5" w14:textId="77777777" w:rsidR="00B820B4" w:rsidRDefault="00B820B4" w:rsidP="001850B3">
    <w:pPr>
      <w:pStyle w:val="Sidehoved"/>
    </w:pPr>
    <w:r>
      <w:rPr>
        <w:noProof/>
        <w:lang w:eastAsia="da-DK"/>
      </w:rPr>
      <w:drawing>
        <wp:anchor distT="0" distB="0" distL="114300" distR="114300" simplePos="0" relativeHeight="251659264" behindDoc="0" locked="0" layoutInCell="1" allowOverlap="1" wp14:anchorId="5B6E3783" wp14:editId="2E5485DE">
          <wp:simplePos x="0" y="0"/>
          <wp:positionH relativeFrom="column">
            <wp:posOffset>1910715</wp:posOffset>
          </wp:positionH>
          <wp:positionV relativeFrom="paragraph">
            <wp:posOffset>-46990</wp:posOffset>
          </wp:positionV>
          <wp:extent cx="1600200" cy="504825"/>
          <wp:effectExtent l="19050" t="0" r="0" b="0"/>
          <wp:wrapTopAndBottom/>
          <wp:docPr id="3" name="Billede 1"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CC27" w14:textId="77777777" w:rsidR="00B820B4" w:rsidRDefault="00B820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1B5"/>
    <w:multiLevelType w:val="hybridMultilevel"/>
    <w:tmpl w:val="E2B4D40A"/>
    <w:lvl w:ilvl="0" w:tplc="420645EC">
      <w:start w:val="1"/>
      <w:numFmt w:val="lowerLetter"/>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E2F18"/>
    <w:multiLevelType w:val="hybridMultilevel"/>
    <w:tmpl w:val="7D70B924"/>
    <w:lvl w:ilvl="0" w:tplc="104C86F4">
      <w:start w:val="1"/>
      <w:numFmt w:val="bullet"/>
      <w:pStyle w:val="Listeafsnit"/>
      <w:lvlText w:val=""/>
      <w:lvlJc w:val="left"/>
      <w:pPr>
        <w:ind w:left="360" w:hanging="360"/>
      </w:pPr>
      <w:rPr>
        <w:rFonts w:ascii="Symbol" w:hAnsi="Symbol" w:hint="default"/>
        <w:color w:val="99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E0710F"/>
    <w:multiLevelType w:val="hybridMultilevel"/>
    <w:tmpl w:val="4E3CC946"/>
    <w:lvl w:ilvl="0" w:tplc="AC6E89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9274FD"/>
    <w:multiLevelType w:val="hybridMultilevel"/>
    <w:tmpl w:val="9BFA6AB2"/>
    <w:lvl w:ilvl="0" w:tplc="1558180C">
      <w:start w:val="1"/>
      <w:numFmt w:val="bullet"/>
      <w:lvlText w:val=""/>
      <w:lvlJc w:val="left"/>
      <w:pPr>
        <w:ind w:left="720" w:hanging="360"/>
      </w:pPr>
      <w:rPr>
        <w:rFonts w:ascii="Symbol" w:hAnsi="Symbol" w:hint="default"/>
        <w:color w:val="99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DD4CCC"/>
    <w:multiLevelType w:val="hybridMultilevel"/>
    <w:tmpl w:val="08B69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6457D6"/>
    <w:multiLevelType w:val="hybridMultilevel"/>
    <w:tmpl w:val="E13412A2"/>
    <w:lvl w:ilvl="0" w:tplc="74AA0666">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6" w15:restartNumberingAfterBreak="0">
    <w:nsid w:val="1D7F4213"/>
    <w:multiLevelType w:val="hybridMultilevel"/>
    <w:tmpl w:val="1C66C10A"/>
    <w:lvl w:ilvl="0" w:tplc="AC6E894A">
      <w:numFmt w:val="bullet"/>
      <w:lvlText w:val="-"/>
      <w:lvlJc w:val="left"/>
      <w:pPr>
        <w:ind w:left="890" w:hanging="360"/>
      </w:pPr>
      <w:rPr>
        <w:rFonts w:ascii="Calibri" w:eastAsia="Calibri" w:hAnsi="Calibri" w:cs="Times New Roman"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7" w15:restartNumberingAfterBreak="0">
    <w:nsid w:val="298349A9"/>
    <w:multiLevelType w:val="hybridMultilevel"/>
    <w:tmpl w:val="1FD20C5E"/>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8" w15:restartNumberingAfterBreak="0">
    <w:nsid w:val="2E7C0FDA"/>
    <w:multiLevelType w:val="hybridMultilevel"/>
    <w:tmpl w:val="C54210B4"/>
    <w:lvl w:ilvl="0" w:tplc="1558180C">
      <w:start w:val="1"/>
      <w:numFmt w:val="bullet"/>
      <w:lvlText w:val=""/>
      <w:lvlJc w:val="left"/>
      <w:pPr>
        <w:ind w:left="720" w:hanging="360"/>
      </w:pPr>
      <w:rPr>
        <w:rFonts w:ascii="Symbol" w:hAnsi="Symbol" w:hint="default"/>
        <w:color w:val="99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B83C15"/>
    <w:multiLevelType w:val="hybridMultilevel"/>
    <w:tmpl w:val="F9780E26"/>
    <w:lvl w:ilvl="0" w:tplc="E31685F2">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10" w15:restartNumberingAfterBreak="0">
    <w:nsid w:val="3513685E"/>
    <w:multiLevelType w:val="hybridMultilevel"/>
    <w:tmpl w:val="DC8ED9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5D6EA3"/>
    <w:multiLevelType w:val="hybridMultilevel"/>
    <w:tmpl w:val="893AE4BC"/>
    <w:lvl w:ilvl="0" w:tplc="A62EE6C8">
      <w:start w:val="1"/>
      <w:numFmt w:val="bullet"/>
      <w:lvlText w:val=""/>
      <w:lvlJc w:val="left"/>
      <w:pPr>
        <w:ind w:left="1080" w:hanging="360"/>
      </w:pPr>
      <w:rPr>
        <w:rFonts w:ascii="Symbol" w:hAnsi="Symbol" w:hint="default"/>
        <w:color w:val="99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7050427"/>
    <w:multiLevelType w:val="hybridMultilevel"/>
    <w:tmpl w:val="ED40315A"/>
    <w:lvl w:ilvl="0" w:tplc="A6CA2E46">
      <w:start w:val="1"/>
      <w:numFmt w:val="lowerLetter"/>
      <w:pStyle w:val="ListeBogstaver"/>
      <w:lvlText w:val="%1)"/>
      <w:lvlJc w:val="left"/>
      <w:pPr>
        <w:ind w:left="36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D797F05"/>
    <w:multiLevelType w:val="multilevel"/>
    <w:tmpl w:val="4BA2F0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5A86154"/>
    <w:multiLevelType w:val="hybridMultilevel"/>
    <w:tmpl w:val="6952E37C"/>
    <w:lvl w:ilvl="0" w:tplc="C01EE2EE">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91B1D1D"/>
    <w:multiLevelType w:val="hybridMultilevel"/>
    <w:tmpl w:val="3DFEB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8379B6"/>
    <w:multiLevelType w:val="hybridMultilevel"/>
    <w:tmpl w:val="2362A9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BE114FD"/>
    <w:multiLevelType w:val="multilevel"/>
    <w:tmpl w:val="76B2175A"/>
    <w:lvl w:ilvl="0">
      <w:start w:val="1"/>
      <w:numFmt w:val="decimal"/>
      <w:pStyle w:val="Underoverskrift"/>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B8113C"/>
    <w:multiLevelType w:val="hybridMultilevel"/>
    <w:tmpl w:val="22BCE0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C43866"/>
    <w:multiLevelType w:val="hybridMultilevel"/>
    <w:tmpl w:val="AD1CBF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71256F"/>
    <w:multiLevelType w:val="hybridMultilevel"/>
    <w:tmpl w:val="48DEDFBE"/>
    <w:lvl w:ilvl="0" w:tplc="F9F853DE">
      <w:start w:val="1"/>
      <w:numFmt w:val="decimal"/>
      <w:pStyle w:val="ListeT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9E50A6"/>
    <w:multiLevelType w:val="hybridMultilevel"/>
    <w:tmpl w:val="5F304D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FD6675"/>
    <w:multiLevelType w:val="hybridMultilevel"/>
    <w:tmpl w:val="A1B62FAA"/>
    <w:lvl w:ilvl="0" w:tplc="144CE9BE">
      <w:start w:val="2"/>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006904726">
    <w:abstractNumId w:val="10"/>
  </w:num>
  <w:num w:numId="2" w16cid:durableId="1302878844">
    <w:abstractNumId w:val="8"/>
  </w:num>
  <w:num w:numId="3" w16cid:durableId="1347557988">
    <w:abstractNumId w:val="16"/>
  </w:num>
  <w:num w:numId="4" w16cid:durableId="2068794365">
    <w:abstractNumId w:val="3"/>
  </w:num>
  <w:num w:numId="5" w16cid:durableId="475344402">
    <w:abstractNumId w:val="1"/>
  </w:num>
  <w:num w:numId="6" w16cid:durableId="1017929150">
    <w:abstractNumId w:val="21"/>
  </w:num>
  <w:num w:numId="7" w16cid:durableId="398141481">
    <w:abstractNumId w:val="17"/>
  </w:num>
  <w:num w:numId="8" w16cid:durableId="2092769084">
    <w:abstractNumId w:val="20"/>
  </w:num>
  <w:num w:numId="9" w16cid:durableId="166990162">
    <w:abstractNumId w:val="12"/>
  </w:num>
  <w:num w:numId="10" w16cid:durableId="488400098">
    <w:abstractNumId w:val="9"/>
  </w:num>
  <w:num w:numId="11" w16cid:durableId="1820614261">
    <w:abstractNumId w:val="5"/>
  </w:num>
  <w:num w:numId="12" w16cid:durableId="89594745">
    <w:abstractNumId w:val="6"/>
  </w:num>
  <w:num w:numId="13" w16cid:durableId="1314988424">
    <w:abstractNumId w:val="2"/>
  </w:num>
  <w:num w:numId="14" w16cid:durableId="1508473326">
    <w:abstractNumId w:val="18"/>
  </w:num>
  <w:num w:numId="15" w16cid:durableId="1275938405">
    <w:abstractNumId w:val="19"/>
  </w:num>
  <w:num w:numId="16" w16cid:durableId="1057778176">
    <w:abstractNumId w:val="22"/>
  </w:num>
  <w:num w:numId="17" w16cid:durableId="1129402086">
    <w:abstractNumId w:val="14"/>
  </w:num>
  <w:num w:numId="18" w16cid:durableId="2032029714">
    <w:abstractNumId w:val="1"/>
  </w:num>
  <w:num w:numId="19" w16cid:durableId="2062319492">
    <w:abstractNumId w:val="15"/>
  </w:num>
  <w:num w:numId="20" w16cid:durableId="352537669">
    <w:abstractNumId w:val="11"/>
  </w:num>
  <w:num w:numId="21" w16cid:durableId="1554082100">
    <w:abstractNumId w:val="13"/>
  </w:num>
  <w:num w:numId="22" w16cid:durableId="578825833">
    <w:abstractNumId w:val="4"/>
  </w:num>
  <w:num w:numId="23" w16cid:durableId="2097284324">
    <w:abstractNumId w:val="7"/>
  </w:num>
  <w:num w:numId="24" w16cid:durableId="142352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trackRevisions/>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numStart w:val="1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artikel" w:val="Empty"/>
    <w:docVar w:name="artikel_fodnote" w:val="Empty"/>
    <w:docVar w:name="artikel_overskrift" w:val="Empty"/>
    <w:docVar w:name="artikel_title" w:val="Empty"/>
    <w:docVar w:name="Overskrift" w:val="Empty"/>
    <w:docVar w:name="PCAStart" w:val="Empty"/>
    <w:docVar w:name="Start" w:val="Empty"/>
    <w:docVar w:name="type_fodnote" w:val="Empty"/>
    <w:docVar w:name="type_overskrift" w:val="Empty"/>
    <w:docVar w:name="type_title" w:val="Empty"/>
    <w:docVar w:name="aar_fodnote" w:val="Empty"/>
    <w:docVar w:name="aar_overskrift" w:val="Empty"/>
    <w:docVar w:name="aar_title" w:val="Empty"/>
  </w:docVars>
  <w:rsids>
    <w:rsidRoot w:val="00680B32"/>
    <w:rsid w:val="00006990"/>
    <w:rsid w:val="00017062"/>
    <w:rsid w:val="00040FB9"/>
    <w:rsid w:val="000436FD"/>
    <w:rsid w:val="000454EA"/>
    <w:rsid w:val="00046CCB"/>
    <w:rsid w:val="00067C5F"/>
    <w:rsid w:val="00073C3E"/>
    <w:rsid w:val="00074D75"/>
    <w:rsid w:val="00081504"/>
    <w:rsid w:val="000827FD"/>
    <w:rsid w:val="00084C5D"/>
    <w:rsid w:val="000935F7"/>
    <w:rsid w:val="00094EAA"/>
    <w:rsid w:val="000954B3"/>
    <w:rsid w:val="000957F7"/>
    <w:rsid w:val="000A78CC"/>
    <w:rsid w:val="000B16BF"/>
    <w:rsid w:val="000B1C9C"/>
    <w:rsid w:val="000C6B17"/>
    <w:rsid w:val="000C7FC1"/>
    <w:rsid w:val="000D073A"/>
    <w:rsid w:val="000E60AF"/>
    <w:rsid w:val="001038BA"/>
    <w:rsid w:val="00127DE1"/>
    <w:rsid w:val="00133133"/>
    <w:rsid w:val="00134292"/>
    <w:rsid w:val="001516F8"/>
    <w:rsid w:val="00154D5F"/>
    <w:rsid w:val="00161F22"/>
    <w:rsid w:val="00162184"/>
    <w:rsid w:val="00170C8D"/>
    <w:rsid w:val="001850B3"/>
    <w:rsid w:val="001873F1"/>
    <w:rsid w:val="001876B5"/>
    <w:rsid w:val="001971CB"/>
    <w:rsid w:val="001B0BE4"/>
    <w:rsid w:val="001B0D07"/>
    <w:rsid w:val="001C1EA2"/>
    <w:rsid w:val="001C3F41"/>
    <w:rsid w:val="001D024D"/>
    <w:rsid w:val="001E4813"/>
    <w:rsid w:val="001E59ED"/>
    <w:rsid w:val="001F6240"/>
    <w:rsid w:val="00201F92"/>
    <w:rsid w:val="0022673B"/>
    <w:rsid w:val="00231693"/>
    <w:rsid w:val="002319EA"/>
    <w:rsid w:val="00234052"/>
    <w:rsid w:val="00254020"/>
    <w:rsid w:val="00256131"/>
    <w:rsid w:val="00265D7A"/>
    <w:rsid w:val="002727A3"/>
    <w:rsid w:val="00275A67"/>
    <w:rsid w:val="002864DD"/>
    <w:rsid w:val="002A61FA"/>
    <w:rsid w:val="002B20A1"/>
    <w:rsid w:val="002B4D4F"/>
    <w:rsid w:val="002B5262"/>
    <w:rsid w:val="002B6A2D"/>
    <w:rsid w:val="002C32C8"/>
    <w:rsid w:val="002D3755"/>
    <w:rsid w:val="002D68C2"/>
    <w:rsid w:val="002E00B6"/>
    <w:rsid w:val="002F77CE"/>
    <w:rsid w:val="00312491"/>
    <w:rsid w:val="003141AD"/>
    <w:rsid w:val="0032624A"/>
    <w:rsid w:val="00336614"/>
    <w:rsid w:val="003414D8"/>
    <w:rsid w:val="00342EE9"/>
    <w:rsid w:val="0034497B"/>
    <w:rsid w:val="00344B70"/>
    <w:rsid w:val="003532DE"/>
    <w:rsid w:val="00354208"/>
    <w:rsid w:val="00361CDE"/>
    <w:rsid w:val="00377587"/>
    <w:rsid w:val="00380858"/>
    <w:rsid w:val="00390281"/>
    <w:rsid w:val="00393E06"/>
    <w:rsid w:val="003960A9"/>
    <w:rsid w:val="00397BF0"/>
    <w:rsid w:val="003B3FA3"/>
    <w:rsid w:val="003B7F5E"/>
    <w:rsid w:val="003C1779"/>
    <w:rsid w:val="003C32EB"/>
    <w:rsid w:val="003D6CF9"/>
    <w:rsid w:val="003E7091"/>
    <w:rsid w:val="003E7C78"/>
    <w:rsid w:val="003F0843"/>
    <w:rsid w:val="003F33C3"/>
    <w:rsid w:val="003F6206"/>
    <w:rsid w:val="003F76E7"/>
    <w:rsid w:val="00406B63"/>
    <w:rsid w:val="00411AA9"/>
    <w:rsid w:val="00416BE6"/>
    <w:rsid w:val="0042004D"/>
    <w:rsid w:val="0043147C"/>
    <w:rsid w:val="00433B5F"/>
    <w:rsid w:val="0043519E"/>
    <w:rsid w:val="004443B1"/>
    <w:rsid w:val="0046776E"/>
    <w:rsid w:val="00480894"/>
    <w:rsid w:val="0048799A"/>
    <w:rsid w:val="00492A77"/>
    <w:rsid w:val="004A4A91"/>
    <w:rsid w:val="004B76B4"/>
    <w:rsid w:val="004C2243"/>
    <w:rsid w:val="004C32CF"/>
    <w:rsid w:val="004C4893"/>
    <w:rsid w:val="004C5629"/>
    <w:rsid w:val="004E06FF"/>
    <w:rsid w:val="004E145D"/>
    <w:rsid w:val="004E5204"/>
    <w:rsid w:val="004E5288"/>
    <w:rsid w:val="004E64D9"/>
    <w:rsid w:val="004F5201"/>
    <w:rsid w:val="00507E56"/>
    <w:rsid w:val="00522B67"/>
    <w:rsid w:val="00522F6D"/>
    <w:rsid w:val="005277B0"/>
    <w:rsid w:val="005448E2"/>
    <w:rsid w:val="00573CF7"/>
    <w:rsid w:val="00576154"/>
    <w:rsid w:val="00577EB1"/>
    <w:rsid w:val="00581477"/>
    <w:rsid w:val="00583962"/>
    <w:rsid w:val="005A13F5"/>
    <w:rsid w:val="005A16A2"/>
    <w:rsid w:val="005A4C97"/>
    <w:rsid w:val="005C08D4"/>
    <w:rsid w:val="005D707D"/>
    <w:rsid w:val="005E23A9"/>
    <w:rsid w:val="005E3F94"/>
    <w:rsid w:val="005E66CF"/>
    <w:rsid w:val="006040C9"/>
    <w:rsid w:val="00621E8D"/>
    <w:rsid w:val="00625058"/>
    <w:rsid w:val="00626953"/>
    <w:rsid w:val="00634F3D"/>
    <w:rsid w:val="006464DE"/>
    <w:rsid w:val="006517EF"/>
    <w:rsid w:val="00655A8E"/>
    <w:rsid w:val="00660307"/>
    <w:rsid w:val="0066030B"/>
    <w:rsid w:val="00660959"/>
    <w:rsid w:val="00662C3D"/>
    <w:rsid w:val="006653FF"/>
    <w:rsid w:val="00677523"/>
    <w:rsid w:val="00680B32"/>
    <w:rsid w:val="00690B0F"/>
    <w:rsid w:val="006941C7"/>
    <w:rsid w:val="00696C63"/>
    <w:rsid w:val="006A209D"/>
    <w:rsid w:val="006A42F3"/>
    <w:rsid w:val="006A7342"/>
    <w:rsid w:val="006B0D54"/>
    <w:rsid w:val="006B36FE"/>
    <w:rsid w:val="006B40B9"/>
    <w:rsid w:val="006B550B"/>
    <w:rsid w:val="006B7C0B"/>
    <w:rsid w:val="006C055F"/>
    <w:rsid w:val="006C0E5A"/>
    <w:rsid w:val="006C1DF2"/>
    <w:rsid w:val="006C69F1"/>
    <w:rsid w:val="006D1E2F"/>
    <w:rsid w:val="006D660D"/>
    <w:rsid w:val="006D6651"/>
    <w:rsid w:val="006E10B8"/>
    <w:rsid w:val="006E5F6B"/>
    <w:rsid w:val="006E7EBB"/>
    <w:rsid w:val="006F07A6"/>
    <w:rsid w:val="006F09B7"/>
    <w:rsid w:val="006F09BC"/>
    <w:rsid w:val="006F2262"/>
    <w:rsid w:val="0070167F"/>
    <w:rsid w:val="00710567"/>
    <w:rsid w:val="00721183"/>
    <w:rsid w:val="007327B9"/>
    <w:rsid w:val="007436AC"/>
    <w:rsid w:val="00761978"/>
    <w:rsid w:val="007736BA"/>
    <w:rsid w:val="0078384B"/>
    <w:rsid w:val="00792335"/>
    <w:rsid w:val="007A47A7"/>
    <w:rsid w:val="007B2787"/>
    <w:rsid w:val="007B6D74"/>
    <w:rsid w:val="007C5AB8"/>
    <w:rsid w:val="007C6A63"/>
    <w:rsid w:val="007C789F"/>
    <w:rsid w:val="007C78B3"/>
    <w:rsid w:val="007E0634"/>
    <w:rsid w:val="007E5FF3"/>
    <w:rsid w:val="007E75F4"/>
    <w:rsid w:val="007F50BC"/>
    <w:rsid w:val="0080110E"/>
    <w:rsid w:val="00812F57"/>
    <w:rsid w:val="008233DE"/>
    <w:rsid w:val="00826A2E"/>
    <w:rsid w:val="00827EC8"/>
    <w:rsid w:val="00834226"/>
    <w:rsid w:val="00834475"/>
    <w:rsid w:val="0083530E"/>
    <w:rsid w:val="008370FB"/>
    <w:rsid w:val="00841BD3"/>
    <w:rsid w:val="0084362D"/>
    <w:rsid w:val="00845AEB"/>
    <w:rsid w:val="0084651F"/>
    <w:rsid w:val="00852800"/>
    <w:rsid w:val="0086195E"/>
    <w:rsid w:val="0086453D"/>
    <w:rsid w:val="008650A2"/>
    <w:rsid w:val="00872C71"/>
    <w:rsid w:val="00876761"/>
    <w:rsid w:val="00883369"/>
    <w:rsid w:val="00883BE1"/>
    <w:rsid w:val="00887F5E"/>
    <w:rsid w:val="008910E7"/>
    <w:rsid w:val="0089463B"/>
    <w:rsid w:val="0089706E"/>
    <w:rsid w:val="0089764B"/>
    <w:rsid w:val="008A1574"/>
    <w:rsid w:val="008A657B"/>
    <w:rsid w:val="008C100E"/>
    <w:rsid w:val="008E10B9"/>
    <w:rsid w:val="008E5098"/>
    <w:rsid w:val="008F5FE1"/>
    <w:rsid w:val="00902F67"/>
    <w:rsid w:val="00906E82"/>
    <w:rsid w:val="00907EE1"/>
    <w:rsid w:val="00914E40"/>
    <w:rsid w:val="0091566B"/>
    <w:rsid w:val="00916043"/>
    <w:rsid w:val="00923B78"/>
    <w:rsid w:val="00940BF5"/>
    <w:rsid w:val="00972039"/>
    <w:rsid w:val="009743D8"/>
    <w:rsid w:val="00975CE5"/>
    <w:rsid w:val="00981BFE"/>
    <w:rsid w:val="00983EF7"/>
    <w:rsid w:val="009904AC"/>
    <w:rsid w:val="00992588"/>
    <w:rsid w:val="00994EFD"/>
    <w:rsid w:val="009C385B"/>
    <w:rsid w:val="009C3D10"/>
    <w:rsid w:val="009C40B1"/>
    <w:rsid w:val="009C620C"/>
    <w:rsid w:val="009F0420"/>
    <w:rsid w:val="009F272C"/>
    <w:rsid w:val="009F71AB"/>
    <w:rsid w:val="009F7789"/>
    <w:rsid w:val="00A05059"/>
    <w:rsid w:val="00A12891"/>
    <w:rsid w:val="00A130D5"/>
    <w:rsid w:val="00A1491E"/>
    <w:rsid w:val="00A302CB"/>
    <w:rsid w:val="00A34C74"/>
    <w:rsid w:val="00A42DF3"/>
    <w:rsid w:val="00A5686C"/>
    <w:rsid w:val="00A76BDE"/>
    <w:rsid w:val="00A82391"/>
    <w:rsid w:val="00A8507B"/>
    <w:rsid w:val="00A930C7"/>
    <w:rsid w:val="00A963C8"/>
    <w:rsid w:val="00AA276D"/>
    <w:rsid w:val="00AA5453"/>
    <w:rsid w:val="00AB0E8C"/>
    <w:rsid w:val="00AB36D2"/>
    <w:rsid w:val="00AC1FD6"/>
    <w:rsid w:val="00AC2FF1"/>
    <w:rsid w:val="00AC4C3D"/>
    <w:rsid w:val="00AC68D7"/>
    <w:rsid w:val="00AD40C7"/>
    <w:rsid w:val="00AD7C31"/>
    <w:rsid w:val="00AE0FC5"/>
    <w:rsid w:val="00AE37E6"/>
    <w:rsid w:val="00AF17CD"/>
    <w:rsid w:val="00AF4A8E"/>
    <w:rsid w:val="00B0308B"/>
    <w:rsid w:val="00B04A05"/>
    <w:rsid w:val="00B13B20"/>
    <w:rsid w:val="00B1552E"/>
    <w:rsid w:val="00B26B29"/>
    <w:rsid w:val="00B330F7"/>
    <w:rsid w:val="00B406F4"/>
    <w:rsid w:val="00B42350"/>
    <w:rsid w:val="00B448D7"/>
    <w:rsid w:val="00B517FB"/>
    <w:rsid w:val="00B64213"/>
    <w:rsid w:val="00B673AE"/>
    <w:rsid w:val="00B70CA0"/>
    <w:rsid w:val="00B75C6F"/>
    <w:rsid w:val="00B820B4"/>
    <w:rsid w:val="00BA270E"/>
    <w:rsid w:val="00BA5681"/>
    <w:rsid w:val="00BA64CA"/>
    <w:rsid w:val="00BB2A9F"/>
    <w:rsid w:val="00BD0DA4"/>
    <w:rsid w:val="00BE7225"/>
    <w:rsid w:val="00BF16F9"/>
    <w:rsid w:val="00BF7FDE"/>
    <w:rsid w:val="00C02EB2"/>
    <w:rsid w:val="00C162FD"/>
    <w:rsid w:val="00C32E7C"/>
    <w:rsid w:val="00C50775"/>
    <w:rsid w:val="00C548A0"/>
    <w:rsid w:val="00C5652F"/>
    <w:rsid w:val="00C602DB"/>
    <w:rsid w:val="00C671B6"/>
    <w:rsid w:val="00C72A1B"/>
    <w:rsid w:val="00C8372D"/>
    <w:rsid w:val="00C86E9F"/>
    <w:rsid w:val="00CA5F87"/>
    <w:rsid w:val="00CB50A5"/>
    <w:rsid w:val="00CB6F7B"/>
    <w:rsid w:val="00CD453F"/>
    <w:rsid w:val="00CD5C74"/>
    <w:rsid w:val="00CF2A36"/>
    <w:rsid w:val="00D01D55"/>
    <w:rsid w:val="00D0387D"/>
    <w:rsid w:val="00D061A6"/>
    <w:rsid w:val="00D105F6"/>
    <w:rsid w:val="00D1544B"/>
    <w:rsid w:val="00D419AA"/>
    <w:rsid w:val="00D469E6"/>
    <w:rsid w:val="00D479FC"/>
    <w:rsid w:val="00D55FD1"/>
    <w:rsid w:val="00D71460"/>
    <w:rsid w:val="00D80B1D"/>
    <w:rsid w:val="00D82AE9"/>
    <w:rsid w:val="00D86C8F"/>
    <w:rsid w:val="00D87756"/>
    <w:rsid w:val="00D96254"/>
    <w:rsid w:val="00DA09DA"/>
    <w:rsid w:val="00DA1340"/>
    <w:rsid w:val="00DA3951"/>
    <w:rsid w:val="00DA4D97"/>
    <w:rsid w:val="00DB69E4"/>
    <w:rsid w:val="00DB6A11"/>
    <w:rsid w:val="00DC33FD"/>
    <w:rsid w:val="00DC5D58"/>
    <w:rsid w:val="00DD2069"/>
    <w:rsid w:val="00DD579A"/>
    <w:rsid w:val="00DE3DF2"/>
    <w:rsid w:val="00DE764E"/>
    <w:rsid w:val="00DF35B7"/>
    <w:rsid w:val="00E0619A"/>
    <w:rsid w:val="00E0677A"/>
    <w:rsid w:val="00E071D9"/>
    <w:rsid w:val="00E136CB"/>
    <w:rsid w:val="00E22D3C"/>
    <w:rsid w:val="00E23949"/>
    <w:rsid w:val="00E278A9"/>
    <w:rsid w:val="00E3050B"/>
    <w:rsid w:val="00E36BE0"/>
    <w:rsid w:val="00E4060D"/>
    <w:rsid w:val="00E45CAD"/>
    <w:rsid w:val="00E5487C"/>
    <w:rsid w:val="00E5769C"/>
    <w:rsid w:val="00E66230"/>
    <w:rsid w:val="00E662A3"/>
    <w:rsid w:val="00E6677E"/>
    <w:rsid w:val="00E73A1B"/>
    <w:rsid w:val="00E7647A"/>
    <w:rsid w:val="00E851C9"/>
    <w:rsid w:val="00E93623"/>
    <w:rsid w:val="00E952D0"/>
    <w:rsid w:val="00EC18C7"/>
    <w:rsid w:val="00EC32B4"/>
    <w:rsid w:val="00ED066B"/>
    <w:rsid w:val="00EF732B"/>
    <w:rsid w:val="00F043F6"/>
    <w:rsid w:val="00F10323"/>
    <w:rsid w:val="00F1200B"/>
    <w:rsid w:val="00F305A3"/>
    <w:rsid w:val="00F402C5"/>
    <w:rsid w:val="00F50710"/>
    <w:rsid w:val="00F51AEB"/>
    <w:rsid w:val="00F54DCF"/>
    <w:rsid w:val="00F56FE8"/>
    <w:rsid w:val="00F62BA7"/>
    <w:rsid w:val="00F7476B"/>
    <w:rsid w:val="00F8508D"/>
    <w:rsid w:val="00F90371"/>
    <w:rsid w:val="00F90506"/>
    <w:rsid w:val="00F93879"/>
    <w:rsid w:val="00F955B1"/>
    <w:rsid w:val="00F969E1"/>
    <w:rsid w:val="00FA4F38"/>
    <w:rsid w:val="00FA6899"/>
    <w:rsid w:val="00FC4FB3"/>
    <w:rsid w:val="00FD36F1"/>
    <w:rsid w:val="00FD69BE"/>
    <w:rsid w:val="00FE2BB4"/>
    <w:rsid w:val="00FE3F9E"/>
    <w:rsid w:val="00FF2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5D2B"/>
  <w15:docId w15:val="{FD181985-AE04-424F-ABF2-BD34F6B3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80" w:lineRule="exact"/>
      <w:jc w:val="both"/>
    </w:pPr>
    <w:rPr>
      <w:rFonts w:ascii="Arial" w:hAnsi="Arial"/>
      <w:sz w:val="21"/>
      <w:szCs w:val="22"/>
      <w:lang w:eastAsia="en-US"/>
    </w:rPr>
  </w:style>
  <w:style w:type="paragraph" w:styleId="Overskrift1">
    <w:name w:val="heading 1"/>
    <w:basedOn w:val="Normal"/>
    <w:next w:val="Normal"/>
    <w:link w:val="Overskrift1Tegn"/>
    <w:qFormat/>
    <w:rsid w:val="00D0387D"/>
    <w:pPr>
      <w:keepNext/>
      <w:spacing w:line="440" w:lineRule="exact"/>
      <w:outlineLvl w:val="0"/>
    </w:pPr>
    <w:rPr>
      <w:rFonts w:ascii="Constantia" w:eastAsiaTheme="majorEastAsia" w:hAnsi="Constantia" w:cstheme="majorBidi"/>
      <w:b/>
      <w:bCs/>
      <w:color w:val="990000"/>
      <w:kern w:val="32"/>
      <w:sz w:val="32"/>
      <w:szCs w:val="32"/>
    </w:rPr>
  </w:style>
  <w:style w:type="paragraph" w:styleId="Overskrift2">
    <w:name w:val="heading 2"/>
    <w:basedOn w:val="Normal"/>
    <w:next w:val="Normal"/>
    <w:link w:val="Overskrift2Tegn"/>
    <w:qFormat/>
    <w:rsid w:val="00D0387D"/>
    <w:pPr>
      <w:keepNext/>
      <w:spacing w:line="300" w:lineRule="exact"/>
      <w:outlineLvl w:val="1"/>
    </w:pPr>
    <w:rPr>
      <w:rFonts w:ascii="Constantia" w:eastAsiaTheme="majorEastAsia" w:hAnsi="Constantia" w:cstheme="majorBidi"/>
      <w:b/>
      <w:bCs/>
      <w:iCs/>
      <w:sz w:val="22"/>
      <w:szCs w:val="28"/>
    </w:rPr>
  </w:style>
  <w:style w:type="paragraph" w:styleId="Overskrift3">
    <w:name w:val="heading 3"/>
    <w:basedOn w:val="Normal"/>
    <w:next w:val="Normal"/>
    <w:link w:val="Overskrift3Tegn"/>
    <w:qFormat/>
    <w:rsid w:val="00E5769C"/>
    <w:pPr>
      <w:keepNext/>
      <w:keepLines/>
      <w:outlineLvl w:val="2"/>
    </w:pPr>
    <w:rPr>
      <w:rFonts w:ascii="Constantia" w:eastAsiaTheme="majorEastAsia" w:hAnsi="Constantia" w:cstheme="majorBidi"/>
      <w:bCs/>
      <w:i/>
      <w:color w:val="000000" w:themeColor="text1"/>
      <w:sz w:val="22"/>
    </w:rPr>
  </w:style>
  <w:style w:type="paragraph" w:styleId="Overskrift4">
    <w:name w:val="heading 4"/>
    <w:basedOn w:val="Normal"/>
    <w:next w:val="Normal"/>
    <w:link w:val="Overskrift4Tegn"/>
    <w:qFormat/>
    <w:rsid w:val="00C162FD"/>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00" w:line="276" w:lineRule="auto"/>
      <w:jc w:val="left"/>
      <w:outlineLvl w:val="3"/>
    </w:pPr>
    <w:rPr>
      <w:rFonts w:ascii="Cambria" w:eastAsia="Times New Roman" w:hAnsi="Cambria"/>
      <w:b/>
      <w:bCs/>
      <w:i/>
      <w:iCs/>
      <w:color w:val="4F81BD"/>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84C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nhideWhenUsed/>
    <w:rsid w:val="00AC2FF1"/>
    <w:pPr>
      <w:tabs>
        <w:tab w:val="center" w:pos="4819"/>
        <w:tab w:val="right" w:pos="9638"/>
      </w:tabs>
      <w:spacing w:line="240" w:lineRule="auto"/>
    </w:pPr>
  </w:style>
  <w:style w:type="character" w:customStyle="1" w:styleId="SidehovedTegn">
    <w:name w:val="Sidehoved Tegn"/>
    <w:basedOn w:val="Standardskrifttypeiafsnit"/>
    <w:link w:val="Sidehoved"/>
    <w:rsid w:val="00AC2FF1"/>
  </w:style>
  <w:style w:type="paragraph" w:styleId="Sidefod">
    <w:name w:val="footer"/>
    <w:basedOn w:val="Normal"/>
    <w:link w:val="SidefodTegn"/>
    <w:uiPriority w:val="4"/>
    <w:unhideWhenUsed/>
    <w:rsid w:val="003960A9"/>
    <w:pPr>
      <w:tabs>
        <w:tab w:val="center" w:pos="4819"/>
        <w:tab w:val="right" w:pos="9638"/>
      </w:tabs>
      <w:spacing w:line="360" w:lineRule="auto"/>
    </w:pPr>
    <w:rPr>
      <w:sz w:val="16"/>
    </w:rPr>
  </w:style>
  <w:style w:type="character" w:customStyle="1" w:styleId="SidefodTegn">
    <w:name w:val="Sidefod Tegn"/>
    <w:basedOn w:val="Standardskrifttypeiafsnit"/>
    <w:link w:val="Sidefod"/>
    <w:uiPriority w:val="4"/>
    <w:rsid w:val="00380858"/>
    <w:rPr>
      <w:rFonts w:ascii="Arial" w:hAnsi="Arial"/>
      <w:sz w:val="16"/>
      <w:szCs w:val="22"/>
      <w:lang w:eastAsia="en-US"/>
    </w:rPr>
  </w:style>
  <w:style w:type="paragraph" w:styleId="Markeringsbobletekst">
    <w:name w:val="Balloon Text"/>
    <w:basedOn w:val="Normal"/>
    <w:link w:val="MarkeringsbobletekstTegn"/>
    <w:unhideWhenUsed/>
    <w:rsid w:val="00AC2F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C2FF1"/>
    <w:rPr>
      <w:rFonts w:ascii="Tahoma" w:hAnsi="Tahoma" w:cs="Tahoma"/>
      <w:sz w:val="16"/>
      <w:szCs w:val="16"/>
    </w:rPr>
  </w:style>
  <w:style w:type="character" w:customStyle="1" w:styleId="Overskrift1Tegn">
    <w:name w:val="Overskrift 1 Tegn"/>
    <w:basedOn w:val="Standardskrifttypeiafsnit"/>
    <w:link w:val="Overskrift1"/>
    <w:rsid w:val="00D0387D"/>
    <w:rPr>
      <w:rFonts w:ascii="Constantia" w:eastAsiaTheme="majorEastAsia" w:hAnsi="Constantia" w:cstheme="majorBidi"/>
      <w:b/>
      <w:bCs/>
      <w:color w:val="990000"/>
      <w:kern w:val="32"/>
      <w:sz w:val="32"/>
      <w:szCs w:val="32"/>
      <w:lang w:eastAsia="en-US"/>
    </w:rPr>
  </w:style>
  <w:style w:type="character" w:customStyle="1" w:styleId="Overskrift2Tegn">
    <w:name w:val="Overskrift 2 Tegn"/>
    <w:basedOn w:val="Standardskrifttypeiafsnit"/>
    <w:link w:val="Overskrift2"/>
    <w:rsid w:val="00B42350"/>
    <w:rPr>
      <w:rFonts w:ascii="Constantia" w:eastAsiaTheme="majorEastAsia" w:hAnsi="Constantia" w:cstheme="majorBidi"/>
      <w:b/>
      <w:bCs/>
      <w:iCs/>
      <w:sz w:val="22"/>
      <w:szCs w:val="28"/>
      <w:lang w:eastAsia="en-US"/>
    </w:rPr>
  </w:style>
  <w:style w:type="paragraph" w:styleId="Listeafsnit">
    <w:name w:val="List Paragraph"/>
    <w:basedOn w:val="Normal"/>
    <w:uiPriority w:val="34"/>
    <w:qFormat/>
    <w:rsid w:val="003960A9"/>
    <w:pPr>
      <w:numPr>
        <w:numId w:val="5"/>
      </w:numPr>
    </w:pPr>
  </w:style>
  <w:style w:type="character" w:styleId="Pladsholdertekst">
    <w:name w:val="Placeholder Text"/>
    <w:basedOn w:val="Standardskrifttypeiafsnit"/>
    <w:uiPriority w:val="99"/>
    <w:semiHidden/>
    <w:rsid w:val="006040C9"/>
    <w:rPr>
      <w:color w:val="808080"/>
    </w:rPr>
  </w:style>
  <w:style w:type="paragraph" w:customStyle="1" w:styleId="Underoverskrift">
    <w:name w:val="Underoverskrift"/>
    <w:basedOn w:val="Overskrift1"/>
    <w:next w:val="Normal"/>
    <w:qFormat/>
    <w:rsid w:val="00621E8D"/>
    <w:pPr>
      <w:numPr>
        <w:numId w:val="7"/>
      </w:numPr>
      <w:spacing w:line="300" w:lineRule="exact"/>
      <w:ind w:left="425" w:hanging="425"/>
    </w:pPr>
    <w:rPr>
      <w:rFonts w:cs="Arial"/>
      <w:color w:val="auto"/>
      <w:sz w:val="22"/>
      <w:szCs w:val="21"/>
    </w:rPr>
  </w:style>
  <w:style w:type="paragraph" w:styleId="Fodnotetekst">
    <w:name w:val="footnote text"/>
    <w:basedOn w:val="Normal"/>
    <w:link w:val="FodnotetekstTegn"/>
    <w:uiPriority w:val="99"/>
    <w:qFormat/>
    <w:rsid w:val="00DD579A"/>
    <w:pPr>
      <w:spacing w:line="240" w:lineRule="auto"/>
    </w:pPr>
    <w:rPr>
      <w:sz w:val="16"/>
      <w:szCs w:val="20"/>
    </w:rPr>
  </w:style>
  <w:style w:type="character" w:customStyle="1" w:styleId="FodnotetekstTegn">
    <w:name w:val="Fodnotetekst Tegn"/>
    <w:basedOn w:val="Standardskrifttypeiafsnit"/>
    <w:link w:val="Fodnotetekst"/>
    <w:uiPriority w:val="99"/>
    <w:rsid w:val="00B42350"/>
    <w:rPr>
      <w:rFonts w:ascii="Arial" w:hAnsi="Arial"/>
      <w:sz w:val="16"/>
      <w:lang w:eastAsia="en-US"/>
    </w:rPr>
  </w:style>
  <w:style w:type="character" w:styleId="Fodnotehenvisning">
    <w:name w:val="footnote reference"/>
    <w:basedOn w:val="Standardskrifttypeiafsnit"/>
    <w:uiPriority w:val="99"/>
    <w:semiHidden/>
    <w:unhideWhenUsed/>
    <w:rsid w:val="00DD579A"/>
    <w:rPr>
      <w:vertAlign w:val="superscript"/>
    </w:rPr>
  </w:style>
  <w:style w:type="paragraph" w:customStyle="1" w:styleId="ListeTal">
    <w:name w:val="ListeTal"/>
    <w:basedOn w:val="Normal"/>
    <w:uiPriority w:val="3"/>
    <w:qFormat/>
    <w:rsid w:val="00380858"/>
    <w:pPr>
      <w:numPr>
        <w:numId w:val="8"/>
      </w:numPr>
      <w:ind w:left="426" w:hanging="426"/>
    </w:pPr>
    <w:rPr>
      <w:rFonts w:cs="Arial"/>
      <w:szCs w:val="21"/>
    </w:rPr>
  </w:style>
  <w:style w:type="paragraph" w:customStyle="1" w:styleId="ListeBogstaver">
    <w:name w:val="ListeBogstaver"/>
    <w:basedOn w:val="Normal"/>
    <w:uiPriority w:val="1"/>
    <w:qFormat/>
    <w:rsid w:val="008650A2"/>
    <w:pPr>
      <w:numPr>
        <w:numId w:val="9"/>
      </w:numPr>
      <w:ind w:left="425" w:hanging="425"/>
    </w:pPr>
  </w:style>
  <w:style w:type="character" w:customStyle="1" w:styleId="Overskrift3Tegn">
    <w:name w:val="Overskrift 3 Tegn"/>
    <w:basedOn w:val="Standardskrifttypeiafsnit"/>
    <w:link w:val="Overskrift3"/>
    <w:rsid w:val="00E5769C"/>
    <w:rPr>
      <w:rFonts w:ascii="Constantia" w:eastAsiaTheme="majorEastAsia" w:hAnsi="Constantia" w:cstheme="majorBidi"/>
      <w:bCs/>
      <w:i/>
      <w:color w:val="000000" w:themeColor="text1"/>
      <w:sz w:val="22"/>
      <w:szCs w:val="22"/>
      <w:lang w:eastAsia="en-US"/>
    </w:rPr>
  </w:style>
  <w:style w:type="character" w:styleId="Hyperlink">
    <w:name w:val="Hyperlink"/>
    <w:basedOn w:val="Standardskrifttypeiafsnit"/>
    <w:uiPriority w:val="99"/>
    <w:unhideWhenUsed/>
    <w:rsid w:val="00E5769C"/>
    <w:rPr>
      <w:color w:val="990000" w:themeColor="hyperlink"/>
      <w:u w:val="single"/>
    </w:rPr>
  </w:style>
  <w:style w:type="paragraph" w:styleId="Billedtekst">
    <w:name w:val="caption"/>
    <w:basedOn w:val="Overskrift2"/>
    <w:next w:val="Normal"/>
    <w:uiPriority w:val="35"/>
    <w:unhideWhenUsed/>
    <w:qFormat/>
    <w:rsid w:val="00C02EB2"/>
    <w:rPr>
      <w:bCs w:val="0"/>
      <w:szCs w:val="18"/>
    </w:rPr>
  </w:style>
  <w:style w:type="paragraph" w:styleId="Indholdsfortegnelse1">
    <w:name w:val="toc 1"/>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pPr>
    <w:rPr>
      <w:noProof/>
    </w:rPr>
  </w:style>
  <w:style w:type="paragraph" w:styleId="Indholdsfortegnelse2">
    <w:name w:val="toc 2"/>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ind w:left="210"/>
    </w:pPr>
    <w:rPr>
      <w:noProof/>
    </w:rPr>
  </w:style>
  <w:style w:type="character" w:customStyle="1" w:styleId="Overskrift4Tegn">
    <w:name w:val="Overskrift 4 Tegn"/>
    <w:basedOn w:val="Standardskrifttypeiafsnit"/>
    <w:link w:val="Overskrift4"/>
    <w:rsid w:val="00C162FD"/>
    <w:rPr>
      <w:rFonts w:ascii="Cambria" w:eastAsia="Times New Roman" w:hAnsi="Cambria"/>
      <w:b/>
      <w:bCs/>
      <w:i/>
      <w:iCs/>
      <w:color w:val="4F81BD"/>
      <w:sz w:val="22"/>
      <w:szCs w:val="22"/>
      <w:lang w:eastAsia="en-US"/>
    </w:rPr>
  </w:style>
  <w:style w:type="character" w:customStyle="1" w:styleId="AendretBestemmelse">
    <w:name w:val="AendretBestemmelse"/>
    <w:basedOn w:val="Standardskrifttypeiafsnit"/>
    <w:rsid w:val="00C162FD"/>
    <w:rPr>
      <w:i/>
    </w:rPr>
  </w:style>
  <w:style w:type="paragraph" w:customStyle="1" w:styleId="Aendringspunkt">
    <w:name w:val="Aendringspunkt"/>
    <w:basedOn w:val="Normal"/>
    <w:next w:val="Normalindrykning"/>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170"/>
      </w:tabs>
      <w:spacing w:before="240" w:line="240" w:lineRule="auto"/>
      <w:jc w:val="left"/>
    </w:pPr>
    <w:rPr>
      <w:rFonts w:ascii="Times New Roman" w:eastAsia="Times New Roman" w:hAnsi="Times New Roman"/>
      <w:sz w:val="24"/>
      <w:szCs w:val="20"/>
    </w:rPr>
  </w:style>
  <w:style w:type="paragraph" w:styleId="Normalindrykning">
    <w:name w:val="Normal Inden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1304"/>
      <w:jc w:val="left"/>
    </w:pPr>
    <w:rPr>
      <w:rFonts w:ascii="Times New Roman" w:eastAsia="Times New Roman" w:hAnsi="Times New Roman"/>
      <w:sz w:val="20"/>
      <w:szCs w:val="20"/>
    </w:rPr>
  </w:style>
  <w:style w:type="paragraph" w:customStyle="1" w:styleId="Af">
    <w:name w:val="A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line="240" w:lineRule="auto"/>
      <w:ind w:left="425" w:hanging="425"/>
      <w:jc w:val="left"/>
    </w:pPr>
    <w:rPr>
      <w:rFonts w:ascii="Times New Roman" w:eastAsia="Times New Roman" w:hAnsi="Times New Roman"/>
      <w:sz w:val="24"/>
      <w:szCs w:val="20"/>
    </w:rPr>
  </w:style>
  <w:style w:type="paragraph" w:customStyle="1" w:styleId="Af2">
    <w:name w:val="Af2"/>
    <w:basedOn w:val="Af"/>
    <w:rsid w:val="00C162FD"/>
    <w:pPr>
      <w:spacing w:before="260"/>
    </w:pPr>
  </w:style>
  <w:style w:type="paragraph" w:customStyle="1" w:styleId="Afsnitsnummer">
    <w:name w:val="Afsnits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Afsnitsoverskrift">
    <w:name w:val="Afsnitsoverskrift"/>
    <w:basedOn w:val="Afsnitsnummer"/>
    <w:next w:val="Normal"/>
    <w:rsid w:val="00C162FD"/>
  </w:style>
  <w:style w:type="paragraph" w:customStyle="1" w:styleId="AktPunkt">
    <w:name w:val="AktPunkt"/>
    <w:basedOn w:val="Normal"/>
    <w:next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right="-567"/>
    </w:pPr>
    <w:rPr>
      <w:rFonts w:ascii="Times New Roman" w:eastAsia="Times New Roman" w:hAnsi="Times New Roman"/>
      <w:sz w:val="24"/>
      <w:szCs w:val="20"/>
    </w:rPr>
  </w:style>
  <w:style w:type="paragraph" w:customStyle="1" w:styleId="Anmaerkninger">
    <w:name w:val="Anmaerkning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BemTil">
    <w:name w:val="BemTi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sz w:val="24"/>
      <w:szCs w:val="20"/>
    </w:rPr>
  </w:style>
  <w:style w:type="paragraph" w:customStyle="1" w:styleId="BemTilCI">
    <w:name w:val="BemTilCI"/>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i/>
      <w:sz w:val="22"/>
      <w:szCs w:val="20"/>
    </w:rPr>
  </w:style>
  <w:style w:type="paragraph" w:customStyle="1" w:styleId="BemTilLfs">
    <w:name w:val="BemTilLfs"/>
    <w:basedOn w:val="Titel"/>
    <w:next w:val="Normal"/>
    <w:rsid w:val="00C162FD"/>
    <w:pPr>
      <w:pageBreakBefore/>
      <w:suppressAutoHyphens/>
      <w:spacing w:after="240"/>
      <w:outlineLvl w:val="9"/>
    </w:pPr>
    <w:rPr>
      <w:b w:val="0"/>
      <w:i/>
      <w:kern w:val="0"/>
      <w:szCs w:val="20"/>
    </w:rPr>
  </w:style>
  <w:style w:type="paragraph" w:styleId="Titel">
    <w:name w:val="Title"/>
    <w:basedOn w:val="Normal"/>
    <w:link w:val="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jc w:val="center"/>
      <w:outlineLvl w:val="0"/>
    </w:pPr>
    <w:rPr>
      <w:rFonts w:ascii="Times New Roman" w:eastAsia="Times New Roman" w:hAnsi="Times New Roman"/>
      <w:b/>
      <w:bCs/>
      <w:kern w:val="28"/>
      <w:sz w:val="32"/>
      <w:szCs w:val="32"/>
    </w:rPr>
  </w:style>
  <w:style w:type="character" w:customStyle="1" w:styleId="TitelTegn">
    <w:name w:val="Titel Tegn"/>
    <w:basedOn w:val="Standardskrifttypeiafsnit"/>
    <w:link w:val="Titel"/>
    <w:rsid w:val="00C162FD"/>
    <w:rPr>
      <w:rFonts w:ascii="Times New Roman" w:eastAsia="Times New Roman" w:hAnsi="Times New Roman"/>
      <w:b/>
      <w:bCs/>
      <w:kern w:val="28"/>
      <w:sz w:val="32"/>
      <w:szCs w:val="32"/>
      <w:lang w:eastAsia="en-US"/>
    </w:rPr>
  </w:style>
  <w:style w:type="paragraph" w:customStyle="1" w:styleId="BemTilV">
    <w:name w:val="BemTilV"/>
    <w:basedOn w:val="BemTil"/>
    <w:next w:val="Normal"/>
    <w:rsid w:val="00C162FD"/>
    <w:pPr>
      <w:jc w:val="left"/>
    </w:pPr>
    <w:rPr>
      <w:sz w:val="22"/>
    </w:rPr>
  </w:style>
  <w:style w:type="paragraph" w:customStyle="1" w:styleId="BemTilVBf">
    <w:name w:val="BemTilVB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emTilVI">
    <w:name w:val="BemTilVI"/>
    <w:basedOn w:val="BemTilV"/>
    <w:rsid w:val="00C162FD"/>
    <w:rPr>
      <w:i/>
      <w:sz w:val="24"/>
    </w:rPr>
  </w:style>
  <w:style w:type="paragraph" w:customStyle="1" w:styleId="BilagsOverskrift">
    <w:name w:val="BilagsOverskrift"/>
    <w:basedOn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360" w:after="240" w:line="240" w:lineRule="auto"/>
      <w:jc w:val="center"/>
    </w:pPr>
    <w:rPr>
      <w:rFonts w:ascii="Times New Roman" w:eastAsia="Times New Roman" w:hAnsi="Times New Roman"/>
      <w:b/>
      <w:sz w:val="24"/>
      <w:szCs w:val="20"/>
    </w:rPr>
  </w:style>
  <w:style w:type="paragraph" w:customStyle="1" w:styleId="Bilagstekst">
    <w:name w:val="Bilags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ilagstitel">
    <w:name w:val="Bilagstitel"/>
    <w:basedOn w:val="Normal"/>
    <w:next w:val="Bilagstekst"/>
    <w:rsid w:val="00C162FD"/>
    <w:pPr>
      <w:pageBreakBefor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40" w:line="240" w:lineRule="auto"/>
      <w:jc w:val="right"/>
    </w:pPr>
    <w:rPr>
      <w:rFonts w:ascii="Times New Roman" w:eastAsia="Times New Roman" w:hAnsi="Times New Roman"/>
      <w:b/>
      <w:sz w:val="28"/>
      <w:szCs w:val="20"/>
    </w:rPr>
  </w:style>
  <w:style w:type="paragraph" w:customStyle="1" w:styleId="Bullet">
    <w:name w:val="Bulle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Bullet1">
    <w:name w:val="Bullet1"/>
    <w:basedOn w:val="Bullet"/>
    <w:rsid w:val="00C162FD"/>
    <w:pPr>
      <w:tabs>
        <w:tab w:val="clear" w:pos="397"/>
        <w:tab w:val="left" w:pos="851"/>
      </w:tabs>
      <w:ind w:left="851"/>
    </w:pPr>
  </w:style>
  <w:style w:type="paragraph" w:customStyle="1" w:styleId="Bullet2">
    <w:name w:val="Bullet2"/>
    <w:basedOn w:val="Bullet1"/>
    <w:rsid w:val="00C162FD"/>
    <w:pPr>
      <w:tabs>
        <w:tab w:val="clear" w:pos="851"/>
        <w:tab w:val="left" w:pos="1276"/>
      </w:tabs>
      <w:ind w:left="1276" w:hanging="425"/>
    </w:pPr>
  </w:style>
  <w:style w:type="paragraph" w:customStyle="1" w:styleId="CParagrafnummer">
    <w:name w:val="CParagraf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CParagraftekst">
    <w:name w:val="CParagraftekst"/>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FolSam">
    <w:name w:val="FolSam"/>
    <w:basedOn w:val="Normal"/>
    <w:next w:val="Normal"/>
    <w:autoRedefine/>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firstLine="170"/>
      <w:jc w:val="center"/>
    </w:pPr>
    <w:rPr>
      <w:rFonts w:ascii="Times New Roman" w:eastAsia="Times New Roman" w:hAnsi="Times New Roman"/>
      <w:b/>
      <w:sz w:val="24"/>
      <w:szCs w:val="20"/>
    </w:rPr>
  </w:style>
  <w:style w:type="paragraph" w:customStyle="1" w:styleId="FremsaetterUndertitel">
    <w:name w:val="FremsaetterUndertite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120" w:line="240" w:lineRule="auto"/>
      <w:jc w:val="center"/>
    </w:pPr>
    <w:rPr>
      <w:rFonts w:ascii="Times New Roman" w:eastAsia="Times New Roman" w:hAnsi="Times New Roman"/>
      <w:sz w:val="24"/>
      <w:szCs w:val="20"/>
    </w:rPr>
  </w:style>
  <w:style w:type="paragraph" w:customStyle="1" w:styleId="Henvendelse">
    <w:name w:val="Henven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454" w:hanging="284"/>
      <w:jc w:val="left"/>
    </w:pPr>
    <w:rPr>
      <w:rFonts w:ascii="Times New Roman" w:eastAsia="Times New Roman" w:hAnsi="Times New Roman"/>
      <w:sz w:val="24"/>
      <w:szCs w:val="20"/>
    </w:rPr>
  </w:style>
  <w:style w:type="paragraph" w:customStyle="1" w:styleId="Hymne">
    <w:name w:val="Hymn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0"/>
      <w:szCs w:val="20"/>
    </w:rPr>
  </w:style>
  <w:style w:type="paragraph" w:customStyle="1" w:styleId="IkkeMedlemmer">
    <w:name w:val="Ikke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IkraftCentreretParagrafNummer">
    <w:name w:val="IkraftCentreretParagrafNummer"/>
    <w:next w:val="CParagraftekst"/>
    <w:rsid w:val="00C162FD"/>
    <w:pPr>
      <w:jc w:val="center"/>
    </w:pPr>
    <w:rPr>
      <w:rFonts w:ascii="Times New Roman" w:eastAsia="Times New Roman" w:hAnsi="Times New Roman"/>
      <w:b/>
      <w:sz w:val="24"/>
      <w:lang w:eastAsia="en-US"/>
    </w:rPr>
  </w:style>
  <w:style w:type="paragraph" w:customStyle="1" w:styleId="Ikrafttraedelse">
    <w:name w:val="Ikrafttrae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40" w:lineRule="auto"/>
      <w:ind w:firstLine="170"/>
      <w:jc w:val="left"/>
    </w:pPr>
    <w:rPr>
      <w:rFonts w:ascii="Times New Roman" w:eastAsia="Times New Roman" w:hAnsi="Times New Roman"/>
      <w:sz w:val="24"/>
      <w:szCs w:val="20"/>
    </w:rPr>
  </w:style>
  <w:style w:type="paragraph" w:customStyle="1" w:styleId="IndholdHdr">
    <w:name w:val="IndholdHd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left"/>
    </w:pPr>
    <w:rPr>
      <w:rFonts w:ascii="Times New Roman" w:eastAsia="Times New Roman" w:hAnsi="Times New Roman"/>
      <w:b/>
      <w:sz w:val="24"/>
      <w:szCs w:val="20"/>
    </w:rPr>
  </w:style>
  <w:style w:type="paragraph" w:customStyle="1" w:styleId="IndholdHdr2">
    <w:name w:val="IndholdHdr2"/>
    <w:basedOn w:val="IndholdHdr"/>
    <w:rsid w:val="00C162FD"/>
    <w:pPr>
      <w:spacing w:before="240"/>
    </w:pPr>
  </w:style>
  <w:style w:type="paragraph" w:customStyle="1" w:styleId="Indledning">
    <w:name w:val="Indledning"/>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397"/>
      <w:jc w:val="left"/>
    </w:pPr>
    <w:rPr>
      <w:rFonts w:ascii="Times New Roman" w:eastAsia="Times New Roman" w:hAnsi="Times New Roman"/>
      <w:sz w:val="24"/>
      <w:szCs w:val="20"/>
    </w:rPr>
  </w:style>
  <w:style w:type="paragraph" w:customStyle="1" w:styleId="Indledning2">
    <w:name w:val="Indledning2"/>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Indstilling">
    <w:name w:val="Indstilling"/>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after="120" w:line="240" w:lineRule="auto"/>
      <w:jc w:val="center"/>
    </w:pPr>
    <w:rPr>
      <w:rFonts w:ascii="Times New Roman" w:eastAsia="Times New Roman" w:hAnsi="Times New Roman"/>
      <w:sz w:val="24"/>
      <w:szCs w:val="20"/>
    </w:rPr>
  </w:style>
  <w:style w:type="paragraph" w:customStyle="1" w:styleId="Kapitelnummer">
    <w:name w:val="Kapitel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sz w:val="24"/>
      <w:szCs w:val="20"/>
    </w:rPr>
  </w:style>
  <w:style w:type="paragraph" w:customStyle="1" w:styleId="Kapiteloverskrift">
    <w:name w:val="Kapiteloverskrift"/>
    <w:basedOn w:val="Kapitelnummer"/>
    <w:next w:val="Normal"/>
    <w:rsid w:val="00C162FD"/>
    <w:pPr>
      <w:suppressAutoHyphens/>
      <w:spacing w:before="120"/>
    </w:pPr>
    <w:rPr>
      <w:i/>
    </w:rPr>
  </w:style>
  <w:style w:type="paragraph" w:customStyle="1" w:styleId="KapiteloverskriftBm">
    <w:name w:val="KapiteloverskriftBm"/>
    <w:basedOn w:val="Kapiteloverskrift"/>
    <w:next w:val="Normal"/>
    <w:rsid w:val="00C162FD"/>
    <w:rPr>
      <w:sz w:val="22"/>
    </w:rPr>
  </w:style>
  <w:style w:type="paragraph" w:customStyle="1" w:styleId="Kommentar">
    <w:name w:val="Kommentar"/>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4"/>
      <w:szCs w:val="20"/>
    </w:rPr>
  </w:style>
  <w:style w:type="paragraph" w:customStyle="1" w:styleId="Litra">
    <w:name w:val="Litra"/>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794" w:hanging="397"/>
      <w:jc w:val="left"/>
    </w:pPr>
    <w:rPr>
      <w:rFonts w:ascii="Times New Roman" w:eastAsia="Times New Roman" w:hAnsi="Times New Roman"/>
      <w:sz w:val="24"/>
      <w:szCs w:val="20"/>
    </w:rPr>
  </w:style>
  <w:style w:type="paragraph" w:customStyle="1" w:styleId="Litra9">
    <w:name w:val="Litra9"/>
    <w:basedOn w:val="Litra"/>
    <w:rsid w:val="00C162FD"/>
    <w:rPr>
      <w:sz w:val="22"/>
    </w:rPr>
  </w:style>
  <w:style w:type="paragraph" w:customStyle="1" w:styleId="lsp6">
    <w:name w:val="lsp6"/>
    <w:basedOn w:val="Henvendelse"/>
    <w:rsid w:val="00C162FD"/>
    <w:pPr>
      <w:spacing w:line="120" w:lineRule="exact"/>
    </w:pPr>
  </w:style>
  <w:style w:type="paragraph" w:customStyle="1" w:styleId="lsp8L">
    <w:name w:val="lsp8L"/>
    <w:basedOn w:val="lsp6"/>
    <w:rsid w:val="00C162FD"/>
    <w:pPr>
      <w:spacing w:line="240" w:lineRule="exact"/>
      <w:ind w:left="0"/>
    </w:pPr>
  </w:style>
  <w:style w:type="paragraph" w:customStyle="1" w:styleId="Lsp8LL">
    <w:name w:val="Lsp8LL"/>
    <w:basedOn w:val="lsp8L"/>
    <w:rsid w:val="00C162FD"/>
  </w:style>
  <w:style w:type="paragraph" w:customStyle="1" w:styleId="Medlemmer">
    <w:name w:val="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line="360" w:lineRule="auto"/>
      <w:jc w:val="center"/>
    </w:pPr>
    <w:rPr>
      <w:rFonts w:ascii="Times New Roman" w:eastAsia="Times New Roman" w:hAnsi="Times New Roman"/>
      <w:sz w:val="24"/>
      <w:szCs w:val="20"/>
    </w:rPr>
  </w:style>
  <w:style w:type="paragraph" w:customStyle="1" w:styleId="Normal9">
    <w:name w:val="Normal9"/>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2"/>
      <w:szCs w:val="20"/>
    </w:rPr>
  </w:style>
  <w:style w:type="paragraph" w:customStyle="1" w:styleId="NormalInd">
    <w:name w:val="NormalInd"/>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NormalInd9">
    <w:name w:val="NormalInd9"/>
    <w:basedOn w:val="NormalInd"/>
    <w:rsid w:val="00C162FD"/>
    <w:rPr>
      <w:sz w:val="22"/>
    </w:rPr>
  </w:style>
  <w:style w:type="paragraph" w:customStyle="1" w:styleId="Nummer">
    <w:name w:val="Nummer"/>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 w:val="left" w:pos="992"/>
      </w:tabs>
      <w:spacing w:line="240" w:lineRule="auto"/>
      <w:ind w:left="397" w:hanging="397"/>
      <w:jc w:val="left"/>
    </w:pPr>
    <w:rPr>
      <w:rFonts w:ascii="Times New Roman" w:eastAsia="Times New Roman" w:hAnsi="Times New Roman"/>
      <w:sz w:val="24"/>
      <w:szCs w:val="20"/>
    </w:rPr>
  </w:style>
  <w:style w:type="paragraph" w:customStyle="1" w:styleId="Nummer9">
    <w:name w:val="Nummer9"/>
    <w:basedOn w:val="Nummer"/>
    <w:rsid w:val="00C162FD"/>
    <w:rPr>
      <w:sz w:val="22"/>
    </w:rPr>
  </w:style>
  <w:style w:type="paragraph" w:customStyle="1" w:styleId="OverskriftSp">
    <w:name w:val="OverskriftSp"/>
    <w:basedOn w:val="Indstilling"/>
    <w:next w:val="NormalInd"/>
    <w:rsid w:val="00C162FD"/>
    <w:pPr>
      <w:spacing w:after="140"/>
    </w:pPr>
    <w:rPr>
      <w:spacing w:val="60"/>
    </w:rPr>
  </w:style>
  <w:style w:type="paragraph" w:customStyle="1" w:styleId="Paragraftekst">
    <w:name w:val="Paragraftekst"/>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ParaOverskrift">
    <w:name w:val="ParaOverskrift"/>
    <w:basedOn w:val="Kapiteloverskrift"/>
    <w:next w:val="NormalInd"/>
    <w:rsid w:val="00C162FD"/>
    <w:pPr>
      <w:spacing w:after="120"/>
    </w:pPr>
    <w:rPr>
      <w:i w:val="0"/>
    </w:rPr>
  </w:style>
  <w:style w:type="paragraph" w:customStyle="1" w:styleId="ParaOverskriftBm">
    <w:name w:val="ParaOverskriftBm"/>
    <w:basedOn w:val="ParaOverskrift"/>
    <w:next w:val="NormalInd9"/>
    <w:rsid w:val="00C162FD"/>
    <w:rPr>
      <w:sz w:val="22"/>
    </w:rPr>
  </w:style>
  <w:style w:type="paragraph" w:customStyle="1" w:styleId="Pind">
    <w:name w:val="Pind"/>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Pind2">
    <w:name w:val="Pind2"/>
    <w:basedOn w:val="Pind"/>
    <w:rsid w:val="00C162FD"/>
    <w:pPr>
      <w:suppressAutoHyphens/>
      <w:ind w:hanging="284"/>
    </w:pPr>
  </w:style>
  <w:style w:type="paragraph" w:customStyle="1" w:styleId="Pind29">
    <w:name w:val="Pind29"/>
    <w:basedOn w:val="Pind2"/>
    <w:rsid w:val="00C162FD"/>
    <w:rPr>
      <w:sz w:val="22"/>
    </w:rPr>
  </w:style>
  <w:style w:type="paragraph" w:customStyle="1" w:styleId="Pind9">
    <w:name w:val="Pind9"/>
    <w:basedOn w:val="Pind"/>
    <w:rsid w:val="00C162FD"/>
    <w:rPr>
      <w:sz w:val="22"/>
    </w:rPr>
  </w:style>
  <w:style w:type="paragraph" w:customStyle="1" w:styleId="Praeambel">
    <w:name w:val="Praeambel"/>
    <w:basedOn w:val="Indledning2"/>
    <w:rsid w:val="00C162FD"/>
  </w:style>
  <w:style w:type="paragraph" w:customStyle="1" w:styleId="PreTitel0">
    <w:name w:val="PreTitel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720" w:line="240" w:lineRule="auto"/>
      <w:jc w:val="center"/>
    </w:pPr>
    <w:rPr>
      <w:rFonts w:ascii="Times New Roman" w:eastAsia="Times New Roman" w:hAnsi="Times New Roman"/>
      <w:sz w:val="20"/>
      <w:szCs w:val="20"/>
    </w:rPr>
  </w:style>
  <w:style w:type="paragraph" w:customStyle="1" w:styleId="PreTitel1">
    <w:name w:val="PreTitel1"/>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after="60" w:line="240" w:lineRule="auto"/>
      <w:jc w:val="center"/>
    </w:pPr>
    <w:rPr>
      <w:rFonts w:ascii="Times New Roman" w:eastAsia="Times New Roman" w:hAnsi="Times New Roman"/>
      <w:b/>
      <w:sz w:val="32"/>
      <w:szCs w:val="20"/>
    </w:rPr>
  </w:style>
  <w:style w:type="paragraph" w:customStyle="1" w:styleId="PreTitel2">
    <w:name w:val="PreTitel2"/>
    <w:basedOn w:val="PreTitel1"/>
    <w:rsid w:val="00C162FD"/>
    <w:pPr>
      <w:spacing w:before="120" w:after="20"/>
    </w:pPr>
    <w:rPr>
      <w:b w:val="0"/>
      <w:sz w:val="24"/>
    </w:rPr>
  </w:style>
  <w:style w:type="paragraph" w:customStyle="1" w:styleId="Resume">
    <w:name w:val="Resum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ResumeTekst">
    <w:name w:val="ResumeTekst"/>
    <w:basedOn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SIGN0">
    <w:name w:val="SIGN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360" w:lineRule="auto"/>
      <w:jc w:val="center"/>
    </w:pPr>
    <w:rPr>
      <w:rFonts w:ascii="Times New Roman" w:eastAsia="Times New Roman" w:hAnsi="Times New Roman"/>
      <w:sz w:val="24"/>
      <w:szCs w:val="20"/>
    </w:rPr>
  </w:style>
  <w:style w:type="paragraph" w:customStyle="1" w:styleId="SkrFrem">
    <w:name w:val="SkrFrem"/>
    <w:basedOn w:val="BemTilLfs"/>
    <w:rsid w:val="00C162FD"/>
    <w:pPr>
      <w:spacing w:before="720"/>
    </w:pPr>
  </w:style>
  <w:style w:type="paragraph" w:customStyle="1" w:styleId="Slutnotetekst1">
    <w:name w:val="Slutnotetekst1"/>
    <w:basedOn w:val="Slutnotetekst"/>
    <w:rsid w:val="00C162FD"/>
    <w:rPr>
      <w:sz w:val="16"/>
    </w:rPr>
  </w:style>
  <w:style w:type="paragraph" w:styleId="Slutnotetekst">
    <w:name w:val="endnote text"/>
    <w:basedOn w:val="Normal"/>
    <w:link w:val="SlutnotetekstTegn"/>
    <w:semiHidde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0"/>
      <w:szCs w:val="20"/>
    </w:rPr>
  </w:style>
  <w:style w:type="character" w:customStyle="1" w:styleId="SlutnotetekstTegn">
    <w:name w:val="Slutnotetekst Tegn"/>
    <w:basedOn w:val="Standardskrifttypeiafsnit"/>
    <w:link w:val="Slutnotetekst"/>
    <w:semiHidden/>
    <w:rsid w:val="00C162FD"/>
    <w:rPr>
      <w:rFonts w:ascii="Times New Roman" w:eastAsia="Times New Roman" w:hAnsi="Times New Roman"/>
      <w:lang w:eastAsia="en-US"/>
    </w:rPr>
  </w:style>
  <w:style w:type="paragraph" w:customStyle="1" w:styleId="SmallTabelTekst">
    <w:name w:val="SmallTabelTekst"/>
    <w:basedOn w:val="Normal"/>
    <w:autoRedefine/>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18"/>
      <w:szCs w:val="20"/>
    </w:rPr>
  </w:style>
  <w:style w:type="paragraph" w:customStyle="1" w:styleId="Stk">
    <w:name w:val="Stk"/>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170"/>
      <w:jc w:val="left"/>
    </w:pPr>
    <w:rPr>
      <w:rFonts w:ascii="Times New Roman" w:eastAsia="Times New Roman" w:hAnsi="Times New Roman"/>
      <w:sz w:val="24"/>
      <w:szCs w:val="20"/>
    </w:rPr>
  </w:style>
  <w:style w:type="paragraph" w:customStyle="1" w:styleId="TabelFod">
    <w:name w:val="TabelFo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284"/>
      </w:tabs>
      <w:spacing w:line="240" w:lineRule="auto"/>
      <w:ind w:left="284" w:hanging="284"/>
      <w:jc w:val="left"/>
    </w:pPr>
    <w:rPr>
      <w:rFonts w:ascii="Times New Roman" w:eastAsia="Times New Roman" w:hAnsi="Times New Roman"/>
      <w:sz w:val="24"/>
      <w:szCs w:val="20"/>
    </w:rPr>
  </w:style>
  <w:style w:type="paragraph" w:customStyle="1" w:styleId="TabelHoved">
    <w:name w:val="TabelHove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Overskrift">
    <w:name w:val="TabelOverskrif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b/>
      <w:sz w:val="24"/>
      <w:szCs w:val="20"/>
    </w:rPr>
  </w:style>
  <w:style w:type="paragraph" w:customStyle="1" w:styleId="TabelTekst">
    <w:name w:val="TabelTekst"/>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tekst9">
    <w:name w:val="Tabeltekst9"/>
    <w:basedOn w:val="TabelTekst"/>
    <w:rsid w:val="00C162FD"/>
    <w:rPr>
      <w:sz w:val="22"/>
    </w:rPr>
  </w:style>
  <w:style w:type="paragraph" w:customStyle="1" w:styleId="TabelTekstHjre">
    <w:name w:val="TabelTekstHøjr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pPr>
    <w:rPr>
      <w:rFonts w:ascii="Times New Roman" w:eastAsia="Times New Roman" w:hAnsi="Times New Roman"/>
      <w:sz w:val="24"/>
      <w:szCs w:val="20"/>
    </w:rPr>
  </w:style>
  <w:style w:type="paragraph" w:customStyle="1" w:styleId="Tekst">
    <w:name w:val="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Tekst0">
    <w:name w:val="Tekst0"/>
    <w:basedOn w:val="Tekst"/>
    <w:rsid w:val="00C162FD"/>
    <w:pPr>
      <w:keepLines/>
      <w:spacing w:before="0"/>
    </w:pPr>
  </w:style>
  <w:style w:type="paragraph" w:customStyle="1" w:styleId="Tekst1">
    <w:name w:val="Tekst1"/>
    <w:basedOn w:val="Tekst0"/>
    <w:rsid w:val="00C162FD"/>
  </w:style>
  <w:style w:type="paragraph" w:customStyle="1" w:styleId="Tekst1Sp">
    <w:name w:val="Tekst1Sp"/>
    <w:basedOn w:val="Tekst"/>
    <w:rsid w:val="00C162FD"/>
  </w:style>
  <w:style w:type="paragraph" w:customStyle="1" w:styleId="Tekst2">
    <w:name w:val="Tekst2"/>
    <w:basedOn w:val="Tekst0"/>
    <w:rsid w:val="00C162FD"/>
    <w:pPr>
      <w:spacing w:before="60"/>
    </w:pPr>
  </w:style>
  <w:style w:type="paragraph" w:customStyle="1" w:styleId="Tekst9">
    <w:name w:val="Tekst9"/>
    <w:basedOn w:val="Tekst"/>
    <w:rsid w:val="00C162FD"/>
    <w:rPr>
      <w:sz w:val="22"/>
    </w:rPr>
  </w:style>
  <w:style w:type="paragraph" w:customStyle="1" w:styleId="Tekstoverskrift">
    <w:name w:val="Tekstoverskrift"/>
    <w:basedOn w:val="Normal"/>
    <w:next w:val="NormalInd"/>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line="240" w:lineRule="auto"/>
      <w:jc w:val="center"/>
    </w:pPr>
    <w:rPr>
      <w:rFonts w:ascii="Times New Roman" w:eastAsia="Times New Roman" w:hAnsi="Times New Roman"/>
      <w:i/>
      <w:sz w:val="24"/>
      <w:szCs w:val="20"/>
    </w:rPr>
  </w:style>
  <w:style w:type="paragraph" w:customStyle="1" w:styleId="TekstoverskriftB">
    <w:name w:val="TekstoverskriftB"/>
    <w:basedOn w:val="Tekstoverskrift"/>
    <w:next w:val="NormalInd"/>
    <w:rsid w:val="00C162FD"/>
    <w:rPr>
      <w:b/>
      <w:i w:val="0"/>
    </w:rPr>
  </w:style>
  <w:style w:type="paragraph" w:customStyle="1" w:styleId="TekstoverskriftBm">
    <w:name w:val="TekstoverskriftBm"/>
    <w:basedOn w:val="Tekstoverskrift"/>
    <w:next w:val="NormalInd9"/>
    <w:rsid w:val="00C162FD"/>
    <w:rPr>
      <w:sz w:val="22"/>
    </w:rPr>
  </w:style>
  <w:style w:type="paragraph" w:customStyle="1" w:styleId="TekstoverskriftVenstre">
    <w:name w:val="TekstoverskriftVenstre"/>
    <w:basedOn w:val="Tekstoverskrift"/>
    <w:next w:val="NormalInd"/>
    <w:rsid w:val="00C162FD"/>
    <w:pPr>
      <w:jc w:val="left"/>
    </w:pPr>
  </w:style>
  <w:style w:type="paragraph" w:customStyle="1" w:styleId="TekstoverskriftVenstreBm">
    <w:name w:val="TekstoverskriftVenstreBm"/>
    <w:basedOn w:val="TekstoverskriftVenstre"/>
    <w:next w:val="NormalInd9"/>
    <w:rsid w:val="00C162FD"/>
    <w:rPr>
      <w:sz w:val="22"/>
    </w:rPr>
  </w:style>
  <w:style w:type="paragraph" w:customStyle="1" w:styleId="TekstoverskriftVenstreN">
    <w:name w:val="TekstoverskriftVenstreN"/>
    <w:basedOn w:val="TekstoverskriftVenstre"/>
    <w:next w:val="Tekst"/>
    <w:rsid w:val="00C162FD"/>
    <w:rPr>
      <w:b/>
      <w:i w:val="0"/>
    </w:rPr>
  </w:style>
  <w:style w:type="paragraph" w:customStyle="1" w:styleId="TekstResume">
    <w:name w:val="TekstResume"/>
    <w:basedOn w:val="TekstoverskriftVenstre"/>
    <w:next w:val="Tekst"/>
    <w:rsid w:val="00C162FD"/>
    <w:rPr>
      <w:b/>
      <w:i w:val="0"/>
    </w:rPr>
  </w:style>
  <w:style w:type="paragraph" w:customStyle="1" w:styleId="TekstV">
    <w:name w:val="TekstV"/>
    <w:basedOn w:val="Tekst"/>
    <w:rsid w:val="00C162FD"/>
    <w:pPr>
      <w:ind w:firstLine="0"/>
    </w:pPr>
  </w:style>
  <w:style w:type="paragraph" w:customStyle="1" w:styleId="Titel1">
    <w:name w:val="Titel1"/>
    <w:basedOn w:val="Titel"/>
    <w:rsid w:val="00C162FD"/>
    <w:pPr>
      <w:suppressAutoHyphens/>
      <w:outlineLvl w:val="9"/>
    </w:pPr>
    <w:rPr>
      <w:b w:val="0"/>
      <w:bCs w:val="0"/>
      <w:kern w:val="0"/>
      <w:szCs w:val="20"/>
    </w:rPr>
  </w:style>
  <w:style w:type="paragraph" w:customStyle="1" w:styleId="Undertitel1">
    <w:name w:val="Undertitel1"/>
    <w:basedOn w:val="Undertitel"/>
    <w:rsid w:val="00C162FD"/>
    <w:pPr>
      <w:outlineLvl w:val="9"/>
    </w:pPr>
    <w:rPr>
      <w:szCs w:val="20"/>
    </w:rPr>
  </w:style>
  <w:style w:type="paragraph" w:styleId="Undertitel">
    <w:name w:val="Subtitle"/>
    <w:basedOn w:val="Normal"/>
    <w:link w:val="Under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60" w:line="240" w:lineRule="auto"/>
      <w:jc w:val="center"/>
      <w:outlineLvl w:val="1"/>
    </w:pPr>
    <w:rPr>
      <w:rFonts w:ascii="Times New Roman" w:eastAsia="Times New Roman" w:hAnsi="Times New Roman"/>
      <w:sz w:val="24"/>
      <w:szCs w:val="24"/>
    </w:rPr>
  </w:style>
  <w:style w:type="character" w:customStyle="1" w:styleId="UndertitelTegn">
    <w:name w:val="Undertitel Tegn"/>
    <w:basedOn w:val="Standardskrifttypeiafsnit"/>
    <w:link w:val="Undertitel"/>
    <w:rsid w:val="00C162FD"/>
    <w:rPr>
      <w:rFonts w:ascii="Times New Roman" w:eastAsia="Times New Roman" w:hAnsi="Times New Roman"/>
      <w:sz w:val="24"/>
      <w:szCs w:val="24"/>
      <w:lang w:eastAsia="en-US"/>
    </w:rPr>
  </w:style>
  <w:style w:type="paragraph" w:styleId="Brdtekst">
    <w:name w:val="Body Text"/>
    <w:basedOn w:val="Normal"/>
    <w:link w:val="BrdtekstTeg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pPr>
    <w:rPr>
      <w:rFonts w:ascii="Times New Roman" w:eastAsia="Times New Roman" w:hAnsi="Times New Roman"/>
      <w:sz w:val="24"/>
      <w:szCs w:val="20"/>
      <w:lang w:eastAsia="da-DK"/>
    </w:rPr>
  </w:style>
  <w:style w:type="character" w:customStyle="1" w:styleId="BrdtekstTegn">
    <w:name w:val="Brødtekst Tegn"/>
    <w:basedOn w:val="Standardskrifttypeiafsnit"/>
    <w:link w:val="Brdtekst"/>
    <w:rsid w:val="00C162FD"/>
    <w:rPr>
      <w:rFonts w:ascii="Times New Roman" w:eastAsia="Times New Roman" w:hAnsi="Times New Roman"/>
      <w:sz w:val="24"/>
    </w:rPr>
  </w:style>
  <w:style w:type="character" w:customStyle="1" w:styleId="NummerTegn1">
    <w:name w:val="Nummer Tegn1"/>
    <w:basedOn w:val="Standardskrifttypeiafsnit"/>
    <w:rsid w:val="00C162FD"/>
    <w:rPr>
      <w:rFonts w:ascii="Times New Roman" w:eastAsia="Times New Roman" w:hAnsi="Times New Roman" w:cs="Times New Roman"/>
      <w:sz w:val="24"/>
      <w:szCs w:val="20"/>
    </w:rPr>
  </w:style>
  <w:style w:type="character" w:customStyle="1" w:styleId="TekstoverskriftTegn">
    <w:name w:val="Tekstoverskrift Tegn"/>
    <w:basedOn w:val="Standardskrifttypeiafsnit"/>
    <w:rsid w:val="00C162FD"/>
    <w:rPr>
      <w:rFonts w:ascii="Times New Roman" w:eastAsia="Times New Roman" w:hAnsi="Times New Roman" w:cs="Times New Roman"/>
      <w:i/>
      <w:sz w:val="24"/>
      <w:szCs w:val="20"/>
    </w:rPr>
  </w:style>
  <w:style w:type="paragraph" w:styleId="Kommentartekst">
    <w:name w:val="annotation text"/>
    <w:basedOn w:val="Normal"/>
    <w:link w:val="KommentartekstTegn"/>
    <w:uiPriority w:val="99"/>
    <w:unhideWhenUse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00" w:line="240" w:lineRule="auto"/>
      <w:jc w:val="left"/>
    </w:pPr>
    <w:rPr>
      <w:rFonts w:ascii="Calibri" w:hAnsi="Calibri"/>
      <w:sz w:val="20"/>
      <w:szCs w:val="20"/>
    </w:rPr>
  </w:style>
  <w:style w:type="character" w:customStyle="1" w:styleId="KommentartekstTegn">
    <w:name w:val="Kommentartekst Tegn"/>
    <w:basedOn w:val="Standardskrifttypeiafsnit"/>
    <w:link w:val="Kommentartekst"/>
    <w:uiPriority w:val="99"/>
    <w:rsid w:val="00C162FD"/>
    <w:rPr>
      <w:lang w:eastAsia="en-US"/>
    </w:rPr>
  </w:style>
  <w:style w:type="character" w:styleId="Slutnotehenvisning">
    <w:name w:val="endnote reference"/>
    <w:basedOn w:val="Standardskrifttypeiafsnit"/>
    <w:semiHidden/>
    <w:rsid w:val="00C162FD"/>
    <w:rPr>
      <w:vertAlign w:val="superscript"/>
    </w:rPr>
  </w:style>
  <w:style w:type="paragraph" w:customStyle="1" w:styleId="Ukendt">
    <w:name w:val="Ukendt"/>
    <w:basedOn w:val="Titel"/>
    <w:rsid w:val="00C162FD"/>
    <w:pPr>
      <w:jc w:val="left"/>
    </w:pPr>
    <w:rPr>
      <w:color w:val="FF0000"/>
      <w:sz w:val="24"/>
    </w:rPr>
  </w:style>
  <w:style w:type="paragraph" w:customStyle="1" w:styleId="Default">
    <w:name w:val="Default"/>
    <w:rsid w:val="00B04A05"/>
    <w:pPr>
      <w:autoSpaceDE w:val="0"/>
      <w:autoSpaceDN w:val="0"/>
      <w:adjustRightInd w:val="0"/>
    </w:pPr>
    <w:rPr>
      <w:rFonts w:ascii="Times New Roman" w:hAnsi="Times New Roman"/>
      <w:color w:val="000000"/>
      <w:sz w:val="24"/>
      <w:szCs w:val="24"/>
    </w:rPr>
  </w:style>
  <w:style w:type="paragraph" w:customStyle="1" w:styleId="skakt">
    <w:name w:val="skakt"/>
    <w:basedOn w:val="Normal"/>
    <w:rsid w:val="00F62BA7"/>
    <w:pPr>
      <w:framePr w:w="2268" w:h="7370" w:hSpace="141" w:wrap="around" w:hAnchor="page" w:x="9270" w:anchorLock="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jc w:val="left"/>
    </w:pPr>
    <w:rPr>
      <w:rFonts w:eastAsia="Times New Roman"/>
      <w:sz w:val="15"/>
      <w:szCs w:val="20"/>
      <w:lang w:eastAsia="da-DK"/>
    </w:rPr>
  </w:style>
  <w:style w:type="character" w:customStyle="1" w:styleId="description">
    <w:name w:val="description"/>
    <w:basedOn w:val="Standardskrifttypeiafsnit"/>
    <w:rsid w:val="00834226"/>
  </w:style>
  <w:style w:type="paragraph" w:styleId="NormalWeb">
    <w:name w:val="Normal (Web)"/>
    <w:basedOn w:val="Normal"/>
    <w:uiPriority w:val="99"/>
    <w:semiHidden/>
    <w:unhideWhenUsed/>
    <w:rsid w:val="00A963C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beforeAutospacing="1" w:after="100" w:afterAutospacing="1" w:line="240" w:lineRule="auto"/>
      <w:jc w:val="left"/>
    </w:pPr>
    <w:rPr>
      <w:rFonts w:ascii="Times New Roman" w:eastAsiaTheme="minorEastAsia" w:hAnsi="Times New Roman"/>
      <w:sz w:val="24"/>
      <w:szCs w:val="24"/>
      <w:lang w:eastAsia="da-DK"/>
    </w:rPr>
  </w:style>
  <w:style w:type="character" w:styleId="Kommentarhenvisning">
    <w:name w:val="annotation reference"/>
    <w:basedOn w:val="Standardskrifttypeiafsnit"/>
    <w:uiPriority w:val="99"/>
    <w:semiHidden/>
    <w:unhideWhenUsed/>
    <w:rsid w:val="00981BFE"/>
    <w:rPr>
      <w:sz w:val="16"/>
      <w:szCs w:val="16"/>
    </w:rPr>
  </w:style>
  <w:style w:type="paragraph" w:styleId="Indholdsfortegnelse3">
    <w:name w:val="toc 3"/>
    <w:basedOn w:val="Normal"/>
    <w:next w:val="Normal"/>
    <w:autoRedefine/>
    <w:uiPriority w:val="39"/>
    <w:unhideWhenUsed/>
    <w:qFormat/>
    <w:rsid w:val="00C5652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100"/>
      <w:ind w:left="420"/>
    </w:pPr>
  </w:style>
  <w:style w:type="paragraph" w:styleId="Overskrift">
    <w:name w:val="TOC Heading"/>
    <w:basedOn w:val="Overskrift1"/>
    <w:next w:val="Normal"/>
    <w:uiPriority w:val="39"/>
    <w:unhideWhenUsed/>
    <w:qFormat/>
    <w:rsid w:val="00C5652F"/>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76" w:lineRule="auto"/>
      <w:jc w:val="left"/>
      <w:outlineLvl w:val="9"/>
    </w:pPr>
    <w:rPr>
      <w:rFonts w:asciiTheme="majorHAnsi" w:hAnsiTheme="majorHAnsi"/>
      <w:color w:val="720000" w:themeColor="accent1" w:themeShade="BF"/>
      <w:kern w:val="0"/>
      <w:sz w:val="28"/>
      <w:szCs w:val="28"/>
      <w:lang w:eastAsia="da-DK"/>
    </w:rPr>
  </w:style>
  <w:style w:type="paragraph" w:styleId="Kommentaremne">
    <w:name w:val="annotation subject"/>
    <w:basedOn w:val="Kommentartekst"/>
    <w:next w:val="Kommentartekst"/>
    <w:link w:val="KommentaremneTegn"/>
    <w:uiPriority w:val="99"/>
    <w:semiHidden/>
    <w:unhideWhenUsed/>
    <w:rsid w:val="008465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jc w:val="both"/>
    </w:pPr>
    <w:rPr>
      <w:rFonts w:ascii="Arial" w:hAnsi="Arial"/>
      <w:b/>
      <w:bCs/>
    </w:rPr>
  </w:style>
  <w:style w:type="character" w:customStyle="1" w:styleId="KommentaremneTegn">
    <w:name w:val="Kommentaremne Tegn"/>
    <w:basedOn w:val="KommentartekstTegn"/>
    <w:link w:val="Kommentaremne"/>
    <w:uiPriority w:val="99"/>
    <w:semiHidden/>
    <w:rsid w:val="0084651F"/>
    <w:rPr>
      <w:rFonts w:ascii="Arial" w:hAnsi="Arial"/>
      <w:b/>
      <w:bCs/>
      <w:lang w:eastAsia="en-US"/>
    </w:rPr>
  </w:style>
  <w:style w:type="paragraph" w:styleId="Korrektur">
    <w:name w:val="Revision"/>
    <w:hidden/>
    <w:uiPriority w:val="99"/>
    <w:semiHidden/>
    <w:rsid w:val="00170C8D"/>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Rapport.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6B5BCB-D2CC-4329-BA2A-334C7CDEB2EC}" type="doc">
      <dgm:prSet loTypeId="urn:microsoft.com/office/officeart/2005/8/layout/chevron1" loCatId="process" qsTypeId="urn:microsoft.com/office/officeart/2005/8/quickstyle/simple3" qsCatId="simple" csTypeId="urn:microsoft.com/office/officeart/2005/8/colors/accent1_2" csCatId="accent1" phldr="1"/>
      <dgm:spPr/>
    </dgm:pt>
    <dgm:pt modelId="{6C3EA9A4-6123-4386-B70F-E9C100E851C7}">
      <dgm:prSet phldrT="[Tekst]" custT="1"/>
      <dgm:spPr/>
      <dgm:t>
        <a:bodyPr/>
        <a:lstStyle/>
        <a:p>
          <a:pPr algn="ctr"/>
          <a:endParaRPr lang="da-DK" sz="1200" dirty="0"/>
        </a:p>
        <a:p>
          <a:pPr algn="ctr"/>
          <a:r>
            <a:rPr lang="da-DK" sz="1200" dirty="0"/>
            <a:t>Skærpet overvågning og offentliggørelse af risikooplysninger</a:t>
          </a:r>
        </a:p>
        <a:p>
          <a:pPr algn="ctr"/>
          <a:endParaRPr lang="da-DK" sz="1200" dirty="0"/>
        </a:p>
      </dgm:t>
    </dgm:pt>
    <dgm:pt modelId="{0F1B7CDB-8F7B-4B0E-B504-8996EA844552}" type="parTrans" cxnId="{10398736-1AA6-448A-9F7C-12C24F46A6F6}">
      <dgm:prSet/>
      <dgm:spPr/>
      <dgm:t>
        <a:bodyPr/>
        <a:lstStyle/>
        <a:p>
          <a:endParaRPr lang="da-DK"/>
        </a:p>
      </dgm:t>
    </dgm:pt>
    <dgm:pt modelId="{0C1F953C-B8CA-481D-9023-A29A8759B789}" type="sibTrans" cxnId="{10398736-1AA6-448A-9F7C-12C24F46A6F6}">
      <dgm:prSet/>
      <dgm:spPr/>
      <dgm:t>
        <a:bodyPr/>
        <a:lstStyle/>
        <a:p>
          <a:endParaRPr lang="da-DK"/>
        </a:p>
      </dgm:t>
    </dgm:pt>
    <dgm:pt modelId="{641C505E-12DE-4EBC-8524-2CEB76C06547}">
      <dgm:prSet phldrT="[Tekst]" custT="1"/>
      <dgm:spPr/>
      <dgm:t>
        <a:bodyPr/>
        <a:lstStyle/>
        <a:p>
          <a:r>
            <a:rPr lang="da-DK" sz="1200" dirty="0"/>
            <a:t>Redegørelse, undersøgelse og/eller § 349 redegørelse</a:t>
          </a:r>
        </a:p>
      </dgm:t>
    </dgm:pt>
    <dgm:pt modelId="{2F234209-7F09-4418-8D34-1A644B972F2B}" type="parTrans" cxnId="{071A676B-C3F8-4148-B30F-F3DDD23D3E24}">
      <dgm:prSet/>
      <dgm:spPr/>
      <dgm:t>
        <a:bodyPr/>
        <a:lstStyle/>
        <a:p>
          <a:endParaRPr lang="da-DK"/>
        </a:p>
      </dgm:t>
    </dgm:pt>
    <dgm:pt modelId="{CFBCEDE5-F59B-47C6-8513-D82A2D1C54DC}" type="sibTrans" cxnId="{071A676B-C3F8-4148-B30F-F3DDD23D3E24}">
      <dgm:prSet/>
      <dgm:spPr/>
      <dgm:t>
        <a:bodyPr/>
        <a:lstStyle/>
        <a:p>
          <a:endParaRPr lang="da-DK"/>
        </a:p>
      </dgm:t>
    </dgm:pt>
    <dgm:pt modelId="{83D0DA4D-EA93-4DEE-BB0C-EC88051DD668}">
      <dgm:prSet phldrT="[Tekst]" custT="1"/>
      <dgm:spPr/>
      <dgm:t>
        <a:bodyPr/>
        <a:lstStyle/>
        <a:p>
          <a:r>
            <a:rPr lang="da-DK" sz="1200" dirty="0"/>
            <a:t>§ 350 - påbud</a:t>
          </a:r>
        </a:p>
        <a:p>
          <a:endParaRPr lang="da-DK" sz="1200" dirty="0"/>
        </a:p>
      </dgm:t>
    </dgm:pt>
    <dgm:pt modelId="{5A2B0EC0-54E0-4FA9-A66E-879D36AC3460}" type="parTrans" cxnId="{D866AFC2-3DED-44FA-BDDE-7A06A5B857D9}">
      <dgm:prSet/>
      <dgm:spPr/>
      <dgm:t>
        <a:bodyPr/>
        <a:lstStyle/>
        <a:p>
          <a:endParaRPr lang="da-DK"/>
        </a:p>
      </dgm:t>
    </dgm:pt>
    <dgm:pt modelId="{941215A7-6DB0-4457-96C7-8FB46A04067D}" type="sibTrans" cxnId="{D866AFC2-3DED-44FA-BDDE-7A06A5B857D9}">
      <dgm:prSet/>
      <dgm:spPr/>
      <dgm:t>
        <a:bodyPr/>
        <a:lstStyle/>
        <a:p>
          <a:endParaRPr lang="da-DK"/>
        </a:p>
      </dgm:t>
    </dgm:pt>
    <dgm:pt modelId="{7E7954A3-9C14-4E79-95FC-E802B893E89B}" type="pres">
      <dgm:prSet presAssocID="{F36B5BCB-D2CC-4329-BA2A-334C7CDEB2EC}" presName="Name0" presStyleCnt="0">
        <dgm:presLayoutVars>
          <dgm:dir/>
          <dgm:animLvl val="lvl"/>
          <dgm:resizeHandles val="exact"/>
        </dgm:presLayoutVars>
      </dgm:prSet>
      <dgm:spPr/>
    </dgm:pt>
    <dgm:pt modelId="{57B43014-CB3B-48C3-90A2-68AB5DA9DD40}" type="pres">
      <dgm:prSet presAssocID="{6C3EA9A4-6123-4386-B70F-E9C100E851C7}" presName="parTxOnly" presStyleLbl="node1" presStyleIdx="0" presStyleCnt="3" custLinFactX="9615" custLinFactY="26240" custLinFactNeighborX="100000" custLinFactNeighborY="100000">
        <dgm:presLayoutVars>
          <dgm:chMax val="0"/>
          <dgm:chPref val="0"/>
          <dgm:bulletEnabled val="1"/>
        </dgm:presLayoutVars>
      </dgm:prSet>
      <dgm:spPr/>
    </dgm:pt>
    <dgm:pt modelId="{099F9522-8348-48ED-8BF9-986D132474A1}" type="pres">
      <dgm:prSet presAssocID="{0C1F953C-B8CA-481D-9023-A29A8759B789}" presName="parTxOnlySpace" presStyleCnt="0"/>
      <dgm:spPr/>
    </dgm:pt>
    <dgm:pt modelId="{364D3D82-E175-43DC-98A7-C7A2D61947A1}" type="pres">
      <dgm:prSet presAssocID="{641C505E-12DE-4EBC-8524-2CEB76C06547}" presName="parTxOnly" presStyleLbl="node1" presStyleIdx="1" presStyleCnt="3" custLinFactNeighborX="97114" custLinFactNeighborY="27385">
        <dgm:presLayoutVars>
          <dgm:chMax val="0"/>
          <dgm:chPref val="0"/>
          <dgm:bulletEnabled val="1"/>
        </dgm:presLayoutVars>
      </dgm:prSet>
      <dgm:spPr/>
    </dgm:pt>
    <dgm:pt modelId="{DDB12114-0634-479F-85DF-B3B831B2E5E7}" type="pres">
      <dgm:prSet presAssocID="{CFBCEDE5-F59B-47C6-8513-D82A2D1C54DC}" presName="parTxOnlySpace" presStyleCnt="0"/>
      <dgm:spPr/>
    </dgm:pt>
    <dgm:pt modelId="{96F580AA-487E-428F-9989-78532C2D7DCE}" type="pres">
      <dgm:prSet presAssocID="{83D0DA4D-EA93-4DEE-BB0C-EC88051DD668}" presName="parTxOnly" presStyleLbl="node1" presStyleIdx="2" presStyleCnt="3" custLinFactX="4181" custLinFactNeighborX="100000" custLinFactNeighborY="-72533">
        <dgm:presLayoutVars>
          <dgm:chMax val="0"/>
          <dgm:chPref val="0"/>
          <dgm:bulletEnabled val="1"/>
        </dgm:presLayoutVars>
      </dgm:prSet>
      <dgm:spPr/>
    </dgm:pt>
  </dgm:ptLst>
  <dgm:cxnLst>
    <dgm:cxn modelId="{9AF1FF0D-2962-4558-90C8-18F0EF964E7B}" type="presOf" srcId="{83D0DA4D-EA93-4DEE-BB0C-EC88051DD668}" destId="{96F580AA-487E-428F-9989-78532C2D7DCE}" srcOrd="0" destOrd="0" presId="urn:microsoft.com/office/officeart/2005/8/layout/chevron1"/>
    <dgm:cxn modelId="{10398736-1AA6-448A-9F7C-12C24F46A6F6}" srcId="{F36B5BCB-D2CC-4329-BA2A-334C7CDEB2EC}" destId="{6C3EA9A4-6123-4386-B70F-E9C100E851C7}" srcOrd="0" destOrd="0" parTransId="{0F1B7CDB-8F7B-4B0E-B504-8996EA844552}" sibTransId="{0C1F953C-B8CA-481D-9023-A29A8759B789}"/>
    <dgm:cxn modelId="{071A676B-C3F8-4148-B30F-F3DDD23D3E24}" srcId="{F36B5BCB-D2CC-4329-BA2A-334C7CDEB2EC}" destId="{641C505E-12DE-4EBC-8524-2CEB76C06547}" srcOrd="1" destOrd="0" parTransId="{2F234209-7F09-4418-8D34-1A644B972F2B}" sibTransId="{CFBCEDE5-F59B-47C6-8513-D82A2D1C54DC}"/>
    <dgm:cxn modelId="{96B67DAA-C4DB-41DB-8852-B6D4BFEB83CE}" type="presOf" srcId="{6C3EA9A4-6123-4386-B70F-E9C100E851C7}" destId="{57B43014-CB3B-48C3-90A2-68AB5DA9DD40}" srcOrd="0" destOrd="0" presId="urn:microsoft.com/office/officeart/2005/8/layout/chevron1"/>
    <dgm:cxn modelId="{D866AFC2-3DED-44FA-BDDE-7A06A5B857D9}" srcId="{F36B5BCB-D2CC-4329-BA2A-334C7CDEB2EC}" destId="{83D0DA4D-EA93-4DEE-BB0C-EC88051DD668}" srcOrd="2" destOrd="0" parTransId="{5A2B0EC0-54E0-4FA9-A66E-879D36AC3460}" sibTransId="{941215A7-6DB0-4457-96C7-8FB46A04067D}"/>
    <dgm:cxn modelId="{816C3ACA-DB7D-4E8D-80DB-862A0B69B4A1}" type="presOf" srcId="{641C505E-12DE-4EBC-8524-2CEB76C06547}" destId="{364D3D82-E175-43DC-98A7-C7A2D61947A1}" srcOrd="0" destOrd="0" presId="urn:microsoft.com/office/officeart/2005/8/layout/chevron1"/>
    <dgm:cxn modelId="{BE71E9DB-D654-4273-9C6C-FE91A300567E}" type="presOf" srcId="{F36B5BCB-D2CC-4329-BA2A-334C7CDEB2EC}" destId="{7E7954A3-9C14-4E79-95FC-E802B893E89B}" srcOrd="0" destOrd="0" presId="urn:microsoft.com/office/officeart/2005/8/layout/chevron1"/>
    <dgm:cxn modelId="{D3A146A8-D6E8-4AD8-AD68-B4C6687809D5}" type="presParOf" srcId="{7E7954A3-9C14-4E79-95FC-E802B893E89B}" destId="{57B43014-CB3B-48C3-90A2-68AB5DA9DD40}" srcOrd="0" destOrd="0" presId="urn:microsoft.com/office/officeart/2005/8/layout/chevron1"/>
    <dgm:cxn modelId="{1EE4D70E-A629-4EDA-B65B-810487CBFCD0}" type="presParOf" srcId="{7E7954A3-9C14-4E79-95FC-E802B893E89B}" destId="{099F9522-8348-48ED-8BF9-986D132474A1}" srcOrd="1" destOrd="0" presId="urn:microsoft.com/office/officeart/2005/8/layout/chevron1"/>
    <dgm:cxn modelId="{A40EF5C8-6AAA-49BD-B5BA-9DA1D18EA5CC}" type="presParOf" srcId="{7E7954A3-9C14-4E79-95FC-E802B893E89B}" destId="{364D3D82-E175-43DC-98A7-C7A2D61947A1}" srcOrd="2" destOrd="0" presId="urn:microsoft.com/office/officeart/2005/8/layout/chevron1"/>
    <dgm:cxn modelId="{F071EA92-E3FC-4397-AE41-1F0B40DCA6BE}" type="presParOf" srcId="{7E7954A3-9C14-4E79-95FC-E802B893E89B}" destId="{DDB12114-0634-479F-85DF-B3B831B2E5E7}" srcOrd="3" destOrd="0" presId="urn:microsoft.com/office/officeart/2005/8/layout/chevron1"/>
    <dgm:cxn modelId="{A96A0C50-94F5-44BD-8E31-41F4ABC36277}" type="presParOf" srcId="{7E7954A3-9C14-4E79-95FC-E802B893E89B}" destId="{96F580AA-487E-428F-9989-78532C2D7DCE}"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B43014-CB3B-48C3-90A2-68AB5DA9DD40}">
      <dsp:nvSpPr>
        <dsp:cNvPr id="0" name=""/>
        <dsp:cNvSpPr/>
      </dsp:nvSpPr>
      <dsp:spPr>
        <a:xfrm>
          <a:off x="412465" y="2114496"/>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endParaRPr lang="da-DK" sz="1200" kern="1200" dirty="0"/>
        </a:p>
        <a:p>
          <a:pPr marL="0" lvl="0" indent="0" algn="ctr" defTabSz="533400">
            <a:lnSpc>
              <a:spcPct val="90000"/>
            </a:lnSpc>
            <a:spcBef>
              <a:spcPct val="0"/>
            </a:spcBef>
            <a:spcAft>
              <a:spcPct val="35000"/>
            </a:spcAft>
            <a:buNone/>
          </a:pPr>
          <a:r>
            <a:rPr lang="da-DK" sz="1200" kern="1200" dirty="0"/>
            <a:t>Skærpet overvågning og offentliggørelse af risikooplysninger</a:t>
          </a:r>
        </a:p>
        <a:p>
          <a:pPr marL="0" lvl="0" indent="0" algn="ctr" defTabSz="533400">
            <a:lnSpc>
              <a:spcPct val="90000"/>
            </a:lnSpc>
            <a:spcBef>
              <a:spcPct val="0"/>
            </a:spcBef>
            <a:spcAft>
              <a:spcPct val="35000"/>
            </a:spcAft>
            <a:buNone/>
          </a:pPr>
          <a:endParaRPr lang="da-DK" sz="1200" kern="1200" dirty="0"/>
        </a:p>
      </dsp:txBody>
      <dsp:txXfrm>
        <a:off x="831274" y="2114496"/>
        <a:ext cx="1256427" cy="837618"/>
      </dsp:txXfrm>
    </dsp:sp>
    <dsp:sp modelId="{364D3D82-E175-43DC-98A7-C7A2D61947A1}">
      <dsp:nvSpPr>
        <dsp:cNvPr id="0" name=""/>
        <dsp:cNvSpPr/>
      </dsp:nvSpPr>
      <dsp:spPr>
        <a:xfrm>
          <a:off x="2089720" y="1286630"/>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Redegørelse, undersøgelse og/eller § 349 redegørelse</a:t>
          </a:r>
        </a:p>
      </dsp:txBody>
      <dsp:txXfrm>
        <a:off x="2508529" y="1286630"/>
        <a:ext cx="1256427" cy="837618"/>
      </dsp:txXfrm>
    </dsp:sp>
    <dsp:sp modelId="{96F580AA-487E-428F-9989-78532C2D7DCE}">
      <dsp:nvSpPr>
        <dsp:cNvPr id="0" name=""/>
        <dsp:cNvSpPr/>
      </dsp:nvSpPr>
      <dsp:spPr>
        <a:xfrm>
          <a:off x="3772719" y="449698"/>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 350 - påbud</a:t>
          </a:r>
        </a:p>
        <a:p>
          <a:pPr marL="0" lvl="0" indent="0" algn="ctr" defTabSz="533400">
            <a:lnSpc>
              <a:spcPct val="90000"/>
            </a:lnSpc>
            <a:spcBef>
              <a:spcPct val="0"/>
            </a:spcBef>
            <a:spcAft>
              <a:spcPct val="35000"/>
            </a:spcAft>
            <a:buNone/>
          </a:pPr>
          <a:endParaRPr lang="da-DK" sz="1200" kern="1200" dirty="0"/>
        </a:p>
      </dsp:txBody>
      <dsp:txXfrm>
        <a:off x="4191528" y="449698"/>
        <a:ext cx="1256427" cy="8376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E8D-7847-4666-8896-97FA4F4D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143</TotalTime>
  <Pages>13</Pages>
  <Words>3023</Words>
  <Characters>18442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Vejledning om tilsynsdiamanten for pengeinstitutter</vt:lpstr>
    </vt:vector>
  </TitlesOfParts>
  <Company>Finanstilsynet</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om tilsynsdiamanten for pengeinstitutter</dc:title>
  <dc:creator>Finanstilsynet</dc:creator>
  <cp:lastModifiedBy>Amalie Prasarnsuk Bugge Madsen (FT)</cp:lastModifiedBy>
  <cp:revision>21</cp:revision>
  <cp:lastPrinted>2017-12-21T13:07:00Z</cp:lastPrinted>
  <dcterms:created xsi:type="dcterms:W3CDTF">2023-04-27T09:39:00Z</dcterms:created>
  <dcterms:modified xsi:type="dcterms:W3CDTF">2025-04-30T11:58:00Z</dcterms:modified>
</cp:coreProperties>
</file>